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8E" w:rsidRDefault="001B3263" w:rsidP="00315E2A">
      <w:pPr>
        <w:jc w:val="center"/>
        <w:rPr>
          <w:b/>
          <w:sz w:val="24"/>
          <w:szCs w:val="24"/>
        </w:rPr>
      </w:pPr>
      <w:r w:rsidRPr="00315E2A">
        <w:rPr>
          <w:b/>
          <w:sz w:val="24"/>
          <w:szCs w:val="24"/>
        </w:rPr>
        <w:t xml:space="preserve">Buying Mutual Funds at a </w:t>
      </w:r>
      <w:r w:rsidR="000B7A20" w:rsidRPr="00315E2A">
        <w:rPr>
          <w:b/>
          <w:sz w:val="24"/>
          <w:szCs w:val="24"/>
        </w:rPr>
        <w:t>Discount</w:t>
      </w:r>
    </w:p>
    <w:p w:rsidR="00315E2A" w:rsidRDefault="00605961" w:rsidP="00315E2A">
      <w:pPr>
        <w:jc w:val="center"/>
        <w:rPr>
          <w:b/>
          <w:sz w:val="24"/>
          <w:szCs w:val="24"/>
        </w:rPr>
      </w:pPr>
      <w:r>
        <w:rPr>
          <w:b/>
          <w:sz w:val="24"/>
          <w:szCs w:val="24"/>
        </w:rPr>
        <w:t>August</w:t>
      </w:r>
      <w:r w:rsidR="009C2013">
        <w:rPr>
          <w:b/>
          <w:sz w:val="24"/>
          <w:szCs w:val="24"/>
        </w:rPr>
        <w:t xml:space="preserve"> 2014</w:t>
      </w:r>
    </w:p>
    <w:p w:rsidR="00315E2A" w:rsidRDefault="00315E2A" w:rsidP="00315E2A">
      <w:pPr>
        <w:jc w:val="center"/>
        <w:rPr>
          <w:b/>
          <w:sz w:val="24"/>
          <w:szCs w:val="24"/>
        </w:rPr>
      </w:pPr>
      <w:r>
        <w:rPr>
          <w:b/>
          <w:sz w:val="24"/>
          <w:szCs w:val="24"/>
        </w:rPr>
        <w:t xml:space="preserve">Robert L. </w:t>
      </w:r>
      <w:proofErr w:type="spellStart"/>
      <w:r>
        <w:rPr>
          <w:b/>
          <w:sz w:val="24"/>
          <w:szCs w:val="24"/>
        </w:rPr>
        <w:t>Losey</w:t>
      </w:r>
      <w:proofErr w:type="spellEnd"/>
      <w:r>
        <w:rPr>
          <w:b/>
          <w:sz w:val="24"/>
          <w:szCs w:val="24"/>
        </w:rPr>
        <w:t>, Ph.D.</w:t>
      </w:r>
    </w:p>
    <w:p w:rsidR="00315E2A" w:rsidRPr="00315E2A" w:rsidRDefault="00315E2A" w:rsidP="00315E2A">
      <w:pPr>
        <w:jc w:val="center"/>
        <w:rPr>
          <w:b/>
          <w:sz w:val="24"/>
          <w:szCs w:val="24"/>
        </w:rPr>
      </w:pPr>
    </w:p>
    <w:p w:rsidR="009C2013" w:rsidRPr="009C2013" w:rsidRDefault="009C2013">
      <w:pPr>
        <w:rPr>
          <w:b/>
        </w:rPr>
      </w:pPr>
      <w:r w:rsidRPr="009C2013">
        <w:rPr>
          <w:b/>
        </w:rPr>
        <w:t>Introduction</w:t>
      </w:r>
    </w:p>
    <w:p w:rsidR="009C2013" w:rsidRDefault="009C2013">
      <w:r>
        <w:t xml:space="preserve">Mutual funds are classified as either “open-end” or “closed-end” funds.  Open-end funds are purchased and redeemed directly through the parent company (Dreyfus, Fidelity, </w:t>
      </w:r>
      <w:proofErr w:type="spellStart"/>
      <w:r>
        <w:t>Pimco</w:t>
      </w:r>
      <w:proofErr w:type="spellEnd"/>
      <w:r>
        <w:t xml:space="preserve">…), or in some cases, through an agent of the parent company of the fund, while closed-end funds are issued as an initial public offering, then bought and sold on exchanges just like stocks.  Open-end funds typically are sold at net asset value (plus a commission in some cases), while closed-end funds </w:t>
      </w:r>
      <w:r w:rsidR="003D3DF0">
        <w:t xml:space="preserve">sometimes trade for a premium (mark-up) above NAV, and sometimes trade for a discount from NAV.  Buying a mutual fund at a discount from NAV is (other things equal) a good thing, because you are buying the underlying stocks and/or bonds at a fraction of their market value.  This paper discusses some of the ins and outs of buying closed-end funds at favorable prices.  </w:t>
      </w:r>
    </w:p>
    <w:p w:rsidR="009C2013" w:rsidRDefault="009C2013"/>
    <w:p w:rsidR="009C2013" w:rsidRPr="003D3DF0" w:rsidRDefault="003D3DF0">
      <w:pPr>
        <w:rPr>
          <w:b/>
        </w:rPr>
      </w:pPr>
      <w:r w:rsidRPr="003D3DF0">
        <w:rPr>
          <w:b/>
        </w:rPr>
        <w:t xml:space="preserve">More </w:t>
      </w:r>
      <w:proofErr w:type="gramStart"/>
      <w:r w:rsidRPr="003D3DF0">
        <w:rPr>
          <w:b/>
        </w:rPr>
        <w:t>On</w:t>
      </w:r>
      <w:proofErr w:type="gramEnd"/>
      <w:r w:rsidRPr="003D3DF0">
        <w:rPr>
          <w:b/>
        </w:rPr>
        <w:t xml:space="preserve"> Closed-End Funds Selling at a Discount</w:t>
      </w:r>
    </w:p>
    <w:p w:rsidR="00E63BD9" w:rsidRDefault="000B7A20">
      <w:r>
        <w:t xml:space="preserve">Historically the majority of closed end </w:t>
      </w:r>
      <w:r w:rsidR="00605961">
        <w:t xml:space="preserve">mutual </w:t>
      </w:r>
      <w:r>
        <w:t xml:space="preserve">funds (CEFs) sell for a discount from net asset value (NAV).  </w:t>
      </w:r>
      <w:r w:rsidR="00971310">
        <w:t xml:space="preserve"> The </w:t>
      </w:r>
      <w:r w:rsidR="00E63BD9">
        <w:t>discount or premium for particular fund</w:t>
      </w:r>
      <w:r w:rsidR="00971310">
        <w:t>s</w:t>
      </w:r>
      <w:r w:rsidR="00605961">
        <w:t xml:space="preserve"> and</w:t>
      </w:r>
      <w:r w:rsidR="00E63BD9">
        <w:t xml:space="preserve"> the average discount for CEFs are </w:t>
      </w:r>
      <w:r w:rsidR="00605961">
        <w:t xml:space="preserve">both </w:t>
      </w:r>
      <w:r w:rsidR="00E63BD9">
        <w:t xml:space="preserve">reported in the section on CEFs in Barron’s on a weekly basis.  Daily figures are available for </w:t>
      </w:r>
      <w:r w:rsidR="00F4780E">
        <w:t xml:space="preserve">most </w:t>
      </w:r>
      <w:r w:rsidR="00E63BD9">
        <w:t>individual CEFs from CEFconnect.com.</w:t>
      </w:r>
      <w:r w:rsidR="00605961">
        <w:t xml:space="preserve">  Other sites provide similar information.</w:t>
      </w:r>
    </w:p>
    <w:p w:rsidR="00E63BD9" w:rsidRDefault="00E63BD9"/>
    <w:p w:rsidR="00605961" w:rsidRDefault="00605961">
      <w:r w:rsidRPr="00605961">
        <w:rPr>
          <w:b/>
        </w:rPr>
        <w:t>Why you should care</w:t>
      </w:r>
      <w:r>
        <w:t xml:space="preserve"> whether your CEF sells for a discount or a premium to NAV is simple: If your fund sells for a discount this </w:t>
      </w:r>
      <w:r w:rsidR="00291408">
        <w:t xml:space="preserve">means that you can buy </w:t>
      </w:r>
      <w:r>
        <w:t xml:space="preserve">$1.00 worth of fund assets </w:t>
      </w:r>
      <w:r w:rsidR="00291408">
        <w:t xml:space="preserve">for less than a </w:t>
      </w:r>
      <w:r>
        <w:t xml:space="preserve">dollar </w:t>
      </w:r>
      <w:r w:rsidR="00291408">
        <w:t>when</w:t>
      </w:r>
      <w:r>
        <w:t xml:space="preserve"> you invest in the fund.  Alternatively, if your fund sells for a premium, </w:t>
      </w:r>
      <w:r w:rsidR="00291408">
        <w:t xml:space="preserve">you have to pay more than a dollar for each dollar in fund </w:t>
      </w:r>
      <w:r>
        <w:t>assets.</w:t>
      </w:r>
      <w:r>
        <w:rPr>
          <w:rStyle w:val="FootnoteReference"/>
        </w:rPr>
        <w:footnoteReference w:id="1"/>
      </w:r>
      <w:r>
        <w:t xml:space="preserve">  Other things equal (and they sometimes aren’t) investors are better off buying assets at a discount from NAV.</w:t>
      </w:r>
    </w:p>
    <w:p w:rsidR="00605961" w:rsidRDefault="00605961"/>
    <w:p w:rsidR="00452DE2" w:rsidRDefault="000B7A20" w:rsidP="00452DE2">
      <w:r w:rsidRPr="00452DE2">
        <w:rPr>
          <w:b/>
        </w:rPr>
        <w:lastRenderedPageBreak/>
        <w:t>Why CEFs typically sell for a discount</w:t>
      </w:r>
      <w:r w:rsidRPr="00E63BD9">
        <w:t xml:space="preserve"> </w:t>
      </w:r>
      <w:r>
        <w:t xml:space="preserve">is a matter of conjecture.  </w:t>
      </w:r>
      <w:r w:rsidR="00605961">
        <w:t xml:space="preserve">Academics have offered a number of theories.  </w:t>
      </w:r>
      <w:r>
        <w:t xml:space="preserve">Perhaps it is because </w:t>
      </w:r>
      <w:r w:rsidR="00605961">
        <w:t>CEFs</w:t>
      </w:r>
      <w:r>
        <w:t xml:space="preserve"> are </w:t>
      </w:r>
      <w:r w:rsidR="00F4780E">
        <w:t>promoted</w:t>
      </w:r>
      <w:r>
        <w:t xml:space="preserve"> less actively tha</w:t>
      </w:r>
      <w:r w:rsidR="00315E2A">
        <w:t xml:space="preserve">n </w:t>
      </w:r>
      <w:r w:rsidR="00605961">
        <w:t>their close</w:t>
      </w:r>
      <w:r w:rsidR="004B3A5A">
        <w:t>st</w:t>
      </w:r>
      <w:r w:rsidR="00605961">
        <w:t xml:space="preserve"> substitutes</w:t>
      </w:r>
      <w:r w:rsidR="00F4780E">
        <w:rPr>
          <w:rStyle w:val="FootnoteReference"/>
        </w:rPr>
        <w:footnoteReference w:id="2"/>
      </w:r>
      <w:r w:rsidR="00605961">
        <w:t xml:space="preserve">, </w:t>
      </w:r>
      <w:r w:rsidR="004B3A5A">
        <w:t xml:space="preserve">the much more popular </w:t>
      </w:r>
      <w:r w:rsidR="00315E2A">
        <w:t>open-end funds.  A</w:t>
      </w:r>
      <w:r>
        <w:t>fter a CEF is sold</w:t>
      </w:r>
      <w:r w:rsidR="004B3A5A">
        <w:t>,</w:t>
      </w:r>
      <w:r>
        <w:t xml:space="preserve"> it no longer accepts </w:t>
      </w:r>
      <w:r w:rsidR="00E63BD9">
        <w:t xml:space="preserve">investments from new investors, hence the need to keep the a CEF’s name </w:t>
      </w:r>
      <w:r w:rsidR="00452DE2">
        <w:t>in the public eye may be</w:t>
      </w:r>
      <w:r w:rsidR="00E63BD9">
        <w:t xml:space="preserve"> viewed by fund sponsors as less important than for an open-end fund that seeks to grow by attracting new investors.  There are often </w:t>
      </w:r>
      <w:r w:rsidR="00C82CDE">
        <w:t xml:space="preserve">other </w:t>
      </w:r>
      <w:r w:rsidR="00E63BD9">
        <w:t xml:space="preserve">identifiable reasons </w:t>
      </w:r>
      <w:r w:rsidR="00315E2A">
        <w:t xml:space="preserve">that help explain </w:t>
      </w:r>
      <w:r w:rsidR="00E63BD9">
        <w:t>why a particular CEF sells at a significant discount.   CEFs that invest in illiquid assets</w:t>
      </w:r>
      <w:r w:rsidR="00C70E71">
        <w:t>, small CEFs</w:t>
      </w:r>
      <w:r w:rsidR="00F4780E">
        <w:t xml:space="preserve"> without economies of scale</w:t>
      </w:r>
      <w:r w:rsidR="00C70E71">
        <w:t xml:space="preserve">, </w:t>
      </w:r>
      <w:r w:rsidR="00E63BD9">
        <w:t>CEFs with high expense ratios</w:t>
      </w:r>
      <w:r w:rsidR="00C70E71">
        <w:t xml:space="preserve">, </w:t>
      </w:r>
      <w:r w:rsidR="00EC4C4A">
        <w:t>CEFs with embedded capital gains that may impose tax burdens</w:t>
      </w:r>
      <w:r w:rsidR="00EC4C4A">
        <w:rPr>
          <w:rStyle w:val="FootnoteReference"/>
        </w:rPr>
        <w:footnoteReference w:id="3"/>
      </w:r>
      <w:r w:rsidR="00EC4C4A">
        <w:t xml:space="preserve">, </w:t>
      </w:r>
      <w:r w:rsidR="00C70E71">
        <w:t xml:space="preserve">and </w:t>
      </w:r>
      <w:r w:rsidR="00F4780E">
        <w:t xml:space="preserve">(possibly) </w:t>
      </w:r>
      <w:r w:rsidR="00C70E71">
        <w:t>CEFs that invest in other mutual funds</w:t>
      </w:r>
      <w:r w:rsidR="00E63BD9">
        <w:t xml:space="preserve"> are m</w:t>
      </w:r>
      <w:r w:rsidR="00315E2A">
        <w:t xml:space="preserve">ore likely to trade for </w:t>
      </w:r>
      <w:r w:rsidR="00E63BD9">
        <w:t>discounts</w:t>
      </w:r>
      <w:r w:rsidR="00315E2A">
        <w:t xml:space="preserve"> than CEFs that do not have these characteristics</w:t>
      </w:r>
      <w:r w:rsidR="00E63BD9">
        <w:t xml:space="preserve">. </w:t>
      </w:r>
    </w:p>
    <w:p w:rsidR="000B7A20" w:rsidRDefault="00452DE2" w:rsidP="00452DE2">
      <w:pPr>
        <w:pStyle w:val="ListParagraph"/>
      </w:pPr>
      <w:r>
        <w:t xml:space="preserve">1. </w:t>
      </w:r>
      <w:r w:rsidR="00E63BD9">
        <w:t xml:space="preserve"> A CEF </w:t>
      </w:r>
      <w:r w:rsidR="00E63BD9" w:rsidRPr="00315E2A">
        <w:rPr>
          <w:b/>
        </w:rPr>
        <w:t>holding illiquid assets</w:t>
      </w:r>
      <w:r w:rsidR="00E63BD9">
        <w:t xml:space="preserve"> faces at least two challenges – it often finds that it is difficult to </w:t>
      </w:r>
      <w:r>
        <w:t>report</w:t>
      </w:r>
      <w:r w:rsidR="00E63BD9">
        <w:t xml:space="preserve"> a fair market price on its assets, and </w:t>
      </w:r>
      <w:r>
        <w:t>it also finds that it is difficult to sell assets quickly for a fair price if it decides that it wants to trade out of a position.</w:t>
      </w:r>
      <w:r w:rsidR="00105C2A">
        <w:rPr>
          <w:rStyle w:val="FootnoteReference"/>
        </w:rPr>
        <w:footnoteReference w:id="4"/>
      </w:r>
      <w:r w:rsidR="00105C2A">
        <w:t xml:space="preserve">  Mutual funds that invest in start-up companies </w:t>
      </w:r>
      <w:r w:rsidR="00BE7A04">
        <w:t xml:space="preserve">or hedge funds </w:t>
      </w:r>
      <w:r w:rsidR="00105C2A">
        <w:t xml:space="preserve">are examples of this combination.  The values of their assets are difficult to ascertain because there is no active market for trading investments in start-ups.  </w:t>
      </w:r>
      <w:r w:rsidR="00BE7A04">
        <w:t>An e</w:t>
      </w:r>
      <w:r w:rsidR="00105C2A">
        <w:t xml:space="preserve">xample </w:t>
      </w:r>
      <w:r w:rsidR="00BE7A04">
        <w:t>of a CEF that specializes in start-ups</w:t>
      </w:r>
      <w:r w:rsidR="00315E2A">
        <w:t xml:space="preserve"> </w:t>
      </w:r>
      <w:r w:rsidR="00BE7A04">
        <w:t>is RENN Global Entrepreneurs Fund (RCG).</w:t>
      </w:r>
      <w:r w:rsidR="00105C2A">
        <w:t xml:space="preserve">  As of </w:t>
      </w:r>
      <w:r w:rsidR="004B3A5A">
        <w:t>mid-August</w:t>
      </w:r>
      <w:r w:rsidR="00BE7A04">
        <w:t xml:space="preserve"> 2012 </w:t>
      </w:r>
      <w:r w:rsidR="00315E2A">
        <w:t>RCG had the second largest</w:t>
      </w:r>
      <w:r w:rsidR="00BE7A04">
        <w:t xml:space="preserve"> discou</w:t>
      </w:r>
      <w:r w:rsidR="004B3A5A">
        <w:t>nt from NAV (at approximately 28</w:t>
      </w:r>
      <w:r w:rsidR="00BE7A04">
        <w:t>%) for the CEFs reported on Cefconnect.com.</w:t>
      </w:r>
      <w:r w:rsidR="00105C2A">
        <w:rPr>
          <w:rStyle w:val="FootnoteReference"/>
        </w:rPr>
        <w:footnoteReference w:id="5"/>
      </w:r>
      <w:r w:rsidR="00105C2A">
        <w:t xml:space="preserve"> </w:t>
      </w:r>
      <w:r w:rsidR="00E63BD9">
        <w:t xml:space="preserve">  </w:t>
      </w:r>
    </w:p>
    <w:p w:rsidR="00452DE2" w:rsidRDefault="00452DE2" w:rsidP="00452DE2">
      <w:pPr>
        <w:pStyle w:val="ListParagraph"/>
      </w:pPr>
      <w:r>
        <w:t xml:space="preserve">2. </w:t>
      </w:r>
      <w:r w:rsidRPr="00315E2A">
        <w:rPr>
          <w:b/>
        </w:rPr>
        <w:t>Small CEFs</w:t>
      </w:r>
      <w:r>
        <w:t xml:space="preserve"> face several obstacles.  They may have a more difficult time attracting research talent and</w:t>
      </w:r>
      <w:r w:rsidR="00C70E71">
        <w:t>,</w:t>
      </w:r>
      <w:r>
        <w:t xml:space="preserve"> because some expenses are fixed regardless of the size of the fund, the expenses per dollar of assets under management will often be higher for small funds. </w:t>
      </w:r>
    </w:p>
    <w:p w:rsidR="0048380E" w:rsidRDefault="00452DE2" w:rsidP="00452DE2">
      <w:pPr>
        <w:pStyle w:val="ListParagraph"/>
      </w:pPr>
      <w:r>
        <w:t xml:space="preserve">3. </w:t>
      </w:r>
      <w:r w:rsidR="00C70E71">
        <w:t xml:space="preserve"> </w:t>
      </w:r>
      <w:r w:rsidR="00C70E71" w:rsidRPr="00315E2A">
        <w:rPr>
          <w:b/>
        </w:rPr>
        <w:t>Fund expenses</w:t>
      </w:r>
      <w:r w:rsidR="00C70E71">
        <w:t xml:space="preserve"> differ from fund to fund, often for no discernible reason.  Studies primarily focusing on open-end funds reveal a significant inverse correlation between expenses and fund returns to investors.  </w:t>
      </w:r>
      <w:r w:rsidR="004B3A5A">
        <w:t xml:space="preserve">It is logical to expect </w:t>
      </w:r>
      <w:r w:rsidR="00C70E71">
        <w:t xml:space="preserve">that the same phenomenon applies to CEFs, and if so, </w:t>
      </w:r>
      <w:r w:rsidR="004B3A5A">
        <w:t>the natural result is that</w:t>
      </w:r>
      <w:r w:rsidR="00C70E71">
        <w:t xml:space="preserve"> investors react </w:t>
      </w:r>
      <w:r w:rsidR="004B3A5A">
        <w:t xml:space="preserve">to </w:t>
      </w:r>
      <w:r w:rsidR="00C70E71">
        <w:t>higher expenses</w:t>
      </w:r>
      <w:r w:rsidR="004B3A5A">
        <w:t xml:space="preserve"> (which lower net revenues)</w:t>
      </w:r>
      <w:r w:rsidR="00C70E71">
        <w:t xml:space="preserve"> by paying lower prices for </w:t>
      </w:r>
      <w:r w:rsidR="00BE7A04">
        <w:t xml:space="preserve">such </w:t>
      </w:r>
      <w:proofErr w:type="gramStart"/>
      <w:r w:rsidR="0048380E">
        <w:t>funds .</w:t>
      </w:r>
      <w:proofErr w:type="gramEnd"/>
      <w:r w:rsidR="0048380E">
        <w:t xml:space="preserve">  </w:t>
      </w:r>
    </w:p>
    <w:p w:rsidR="00FE09C1" w:rsidRDefault="0048380E" w:rsidP="00452DE2">
      <w:pPr>
        <w:pStyle w:val="ListParagraph"/>
      </w:pPr>
      <w:r>
        <w:t>4. Many investors have heard of the “</w:t>
      </w:r>
      <w:r w:rsidRPr="00315E2A">
        <w:rPr>
          <w:b/>
        </w:rPr>
        <w:t>fund of funds</w:t>
      </w:r>
      <w:r>
        <w:t xml:space="preserve">” concept in which a mutual fund searches for the “best” funds and forms a portfolio of “best” funds.  The idea sounds promising, but it has the drawback that the investor in a fund of funds pays </w:t>
      </w:r>
      <w:r w:rsidR="00E57B13">
        <w:t xml:space="preserve">is in effect saddled with </w:t>
      </w:r>
      <w:r>
        <w:t>two sets of fees, one on the fund of funds and a second imposed by the “best” funds that the fund of funds buys.  The question arises, why not just buy the best funds and cut out the fund of funds intermediary?</w:t>
      </w:r>
    </w:p>
    <w:p w:rsidR="00FE09C1" w:rsidRDefault="00FE09C1" w:rsidP="00FE09C1"/>
    <w:p w:rsidR="00760E6B" w:rsidRDefault="00315E2A" w:rsidP="00FE09C1">
      <w:r>
        <w:t xml:space="preserve">Some examples:  BIF and BTF (two </w:t>
      </w:r>
      <w:r w:rsidR="00FE09C1">
        <w:t>CEFs from the same fund family</w:t>
      </w:r>
      <w:r>
        <w:t>)</w:t>
      </w:r>
      <w:r w:rsidR="007A7D73">
        <w:t xml:space="preserve"> tend to rather consistent</w:t>
      </w:r>
      <w:r w:rsidR="00FE09C1">
        <w:t>ly report high discounts from NAV.  Their management fe</w:t>
      </w:r>
      <w:r w:rsidR="004B3A5A">
        <w:t>es are relatively high (over 1.4</w:t>
      </w:r>
      <w:r w:rsidR="00FE09C1">
        <w:t xml:space="preserve">%, not including advertising fees), and they have </w:t>
      </w:r>
      <w:proofErr w:type="spellStart"/>
      <w:r w:rsidR="00E57B13">
        <w:t>have</w:t>
      </w:r>
      <w:proofErr w:type="spellEnd"/>
      <w:r w:rsidR="00E57B13">
        <w:t xml:space="preserve"> had large positions</w:t>
      </w:r>
      <w:r w:rsidR="00FE09C1">
        <w:t xml:space="preserve"> invested in Berkshire Hathaway shares. </w:t>
      </w:r>
      <w:r w:rsidR="007A7D73">
        <w:t xml:space="preserve">  </w:t>
      </w:r>
      <w:r w:rsidR="007A7D73">
        <w:lastRenderedPageBreak/>
        <w:t>Though this writer has purchased both of these funds when</w:t>
      </w:r>
      <w:r w:rsidR="00E57B13">
        <w:t xml:space="preserve"> their discounts from NAV have exceeded 20%, I have normally</w:t>
      </w:r>
      <w:r w:rsidR="007A7D73">
        <w:t xml:space="preserve"> viewed these investments as short-term.   </w:t>
      </w:r>
      <w:r w:rsidR="00760E6B">
        <w:t>I am a fan of Warren Buffet</w:t>
      </w:r>
      <w:r w:rsidR="004B3A5A">
        <w:t xml:space="preserve"> and Berkshire Hathaway</w:t>
      </w:r>
      <w:r w:rsidR="00760E6B">
        <w:t>, but w</w:t>
      </w:r>
      <w:r w:rsidR="007A7D73">
        <w:t xml:space="preserve">hy should I pay </w:t>
      </w:r>
      <w:r w:rsidR="00656EDF">
        <w:t xml:space="preserve">a </w:t>
      </w:r>
      <w:r w:rsidR="00760E6B">
        <w:t>1.</w:t>
      </w:r>
      <w:r w:rsidR="004B3A5A">
        <w:t>4</w:t>
      </w:r>
      <w:r w:rsidR="00760E6B">
        <w:t xml:space="preserve">% </w:t>
      </w:r>
      <w:r w:rsidR="00656EDF">
        <w:t xml:space="preserve">annual management fee </w:t>
      </w:r>
      <w:r w:rsidR="00760E6B">
        <w:t xml:space="preserve">to </w:t>
      </w:r>
      <w:r w:rsidR="00E57B13">
        <w:t xml:space="preserve">BIF to </w:t>
      </w:r>
      <w:r w:rsidR="00760E6B">
        <w:t xml:space="preserve">put my money to work in an investment that I can very easily buy </w:t>
      </w:r>
      <w:r>
        <w:t>directly</w:t>
      </w:r>
      <w:r w:rsidR="00656EDF">
        <w:t xml:space="preserve"> without incurring an extra 1.4% annual cost</w:t>
      </w:r>
      <w:r w:rsidR="00760E6B">
        <w:t>?</w:t>
      </w:r>
      <w:r w:rsidR="00E57B13">
        <w:t xml:space="preserve">  </w:t>
      </w:r>
    </w:p>
    <w:p w:rsidR="00656EDF" w:rsidRDefault="00656EDF" w:rsidP="00FE09C1"/>
    <w:p w:rsidR="00452DE2" w:rsidRDefault="00760E6B" w:rsidP="00FE09C1">
      <w:r w:rsidRPr="00760E6B">
        <w:rPr>
          <w:b/>
        </w:rPr>
        <w:t xml:space="preserve">Pros and Cons Relative to Buying Discount CEFs </w:t>
      </w:r>
      <w:r w:rsidR="007A7D73" w:rsidRPr="00760E6B">
        <w:rPr>
          <w:b/>
        </w:rPr>
        <w:t xml:space="preserve"> </w:t>
      </w:r>
      <w:r w:rsidR="005C4BE0">
        <w:rPr>
          <w:b/>
        </w:rPr>
        <w:t xml:space="preserve"> </w:t>
      </w:r>
      <w:r w:rsidRPr="00760E6B">
        <w:t xml:space="preserve">The </w:t>
      </w:r>
      <w:r>
        <w:t xml:space="preserve">major advantage of buying a CEF selling at a discount </w:t>
      </w:r>
      <w:r w:rsidR="00E57B13">
        <w:t xml:space="preserve">relative to buying an open-end fund </w:t>
      </w:r>
      <w:r>
        <w:t>is self-evident.  Other things equal (and they often are, as CEF expenses and increases in prices are typically comparable to open-end funds</w:t>
      </w:r>
      <w:r w:rsidR="005C4BE0">
        <w:t>)</w:t>
      </w:r>
      <w:r>
        <w:t>,</w:t>
      </w:r>
      <w:r w:rsidR="005C4BE0">
        <w:t xml:space="preserve"> paying a lower price per dollar of assets held by the fund has an obvious advantage.</w:t>
      </w:r>
      <w:r w:rsidR="009013D7">
        <w:t xml:space="preserve">  Consider a CEF and a comparable open-end fund that own the same assets and have the same expenses, but the open-end fund is purchased for 100% of NAV (this is the norm) and the CEF is purchased for a 20% discount from NAV.  Assume that both the open-end fund and the CEF pay</w:t>
      </w:r>
      <w:r w:rsidR="00720522">
        <w:t xml:space="preserve"> an annual distribution of 4</w:t>
      </w:r>
      <w:r w:rsidR="009013D7">
        <w:t xml:space="preserve">% of assets.  </w:t>
      </w:r>
      <w:r w:rsidR="00720522">
        <w:t>Ignoring changes in prices of the funds, t</w:t>
      </w:r>
      <w:r w:rsidR="009013D7">
        <w:t xml:space="preserve">he return </w:t>
      </w:r>
      <w:r w:rsidR="00E57B13">
        <w:t xml:space="preserve">from fund payout </w:t>
      </w:r>
      <w:r w:rsidR="009013D7">
        <w:t xml:space="preserve">to the investor in the open-end fund </w:t>
      </w:r>
      <w:r w:rsidR="00720522">
        <w:t>will be 4</w:t>
      </w:r>
      <w:r w:rsidR="009013D7">
        <w:t xml:space="preserve">% of his/her investment, while the return to the </w:t>
      </w:r>
      <w:r w:rsidR="00720522">
        <w:t xml:space="preserve">investor </w:t>
      </w:r>
      <w:r w:rsidR="00E57B13">
        <w:t xml:space="preserve">from payout </w:t>
      </w:r>
      <w:r w:rsidR="00720522">
        <w:t>in the CEF will be 5</w:t>
      </w:r>
      <w:r w:rsidR="009013D7">
        <w:t>%</w:t>
      </w:r>
      <w:r w:rsidR="00720522">
        <w:t>.</w:t>
      </w:r>
      <w:r w:rsidR="00720522">
        <w:rPr>
          <w:rStyle w:val="FootnoteReference"/>
        </w:rPr>
        <w:footnoteReference w:id="6"/>
      </w:r>
      <w:r w:rsidR="00720522">
        <w:t xml:space="preserve">  The difference of 1% may appear to be small, but over a long period of time the investment returns from the CEF that consistently earns a 1% extra return can have a very substantial effect on the value of the investor’s position.  </w:t>
      </w:r>
      <w:r w:rsidR="00693C69">
        <w:t xml:space="preserve">For example, </w:t>
      </w:r>
      <w:r w:rsidR="00105C2A">
        <w:t>$100</w:t>
      </w:r>
      <w:r w:rsidR="00693C69">
        <w:t xml:space="preserve"> invested </w:t>
      </w:r>
      <w:r w:rsidR="00315E2A">
        <w:t xml:space="preserve">(with earnings reinvested) </w:t>
      </w:r>
      <w:r w:rsidR="00693C69">
        <w:t xml:space="preserve">in an open-end fund </w:t>
      </w:r>
      <w:r w:rsidR="00105C2A">
        <w:t xml:space="preserve">earning 8% per year </w:t>
      </w:r>
      <w:r w:rsidR="00315E2A">
        <w:t>or</w:t>
      </w:r>
      <w:r w:rsidR="00105C2A">
        <w:t xml:space="preserve"> </w:t>
      </w:r>
      <w:r w:rsidR="00693C69">
        <w:t>a CEF</w:t>
      </w:r>
      <w:r w:rsidR="00105C2A">
        <w:t xml:space="preserve"> earning 9% per year will have accumulated to $1479 in 35 years if invested in the open-end fund</w:t>
      </w:r>
      <w:r w:rsidR="00315E2A">
        <w:t xml:space="preserve"> but will have reached </w:t>
      </w:r>
      <w:r w:rsidR="00105C2A">
        <w:t>$2041 if invested in the CEF.</w:t>
      </w:r>
      <w:r w:rsidR="00105C2A">
        <w:rPr>
          <w:rStyle w:val="FootnoteReference"/>
        </w:rPr>
        <w:footnoteReference w:id="7"/>
      </w:r>
    </w:p>
    <w:p w:rsidR="00720522" w:rsidRDefault="00720522" w:rsidP="00FE09C1">
      <w:pPr>
        <w:rPr>
          <w:b/>
        </w:rPr>
      </w:pPr>
    </w:p>
    <w:p w:rsidR="00C2451F" w:rsidRDefault="00A2430F" w:rsidP="00FE09C1">
      <w:r>
        <w:t>During the stock market crash associated with the financial markets meltdown i</w:t>
      </w:r>
      <w:r w:rsidRPr="00A2430F">
        <w:t xml:space="preserve">n the fall of 2008 </w:t>
      </w:r>
      <w:r>
        <w:t xml:space="preserve">the average discount to NAV of CEFs reached levels never seen before. </w:t>
      </w:r>
      <w:r w:rsidR="00C2451F">
        <w:t xml:space="preserve"> Data reported for LMP Capital and Income Fund from cefconnect.com as of 10/10/08 illustrates this. </w:t>
      </w:r>
    </w:p>
    <w:p w:rsidR="00C2451F" w:rsidRDefault="00C2451F" w:rsidP="00C2451F">
      <w:pPr>
        <w:rPr>
          <w:rFonts w:ascii="Verdana" w:hAnsi="Verdana"/>
          <w:b/>
          <w:bCs/>
          <w:color w:val="4C230F"/>
          <w:sz w:val="24"/>
          <w:szCs w:val="24"/>
        </w:rPr>
      </w:pPr>
      <w:r>
        <w:rPr>
          <w:rFonts w:ascii="Verdana" w:hAnsi="Verdana"/>
          <w:b/>
          <w:bCs/>
          <w:color w:val="4C230F"/>
        </w:rPr>
        <w:t xml:space="preserve">LMP Capital and Income Fund, Inc (SCD) </w:t>
      </w:r>
    </w:p>
    <w:p w:rsidR="00C2451F" w:rsidRDefault="00C2451F" w:rsidP="00C2451F">
      <w:pPr>
        <w:rPr>
          <w:rFonts w:ascii="Verdana" w:hAnsi="Verdana"/>
          <w:color w:val="333333"/>
          <w:sz w:val="17"/>
          <w:szCs w:val="17"/>
        </w:rPr>
      </w:pPr>
      <w:r>
        <w:rPr>
          <w:rFonts w:ascii="Verdana" w:hAnsi="Verdana"/>
          <w:noProof/>
          <w:color w:val="333333"/>
          <w:sz w:val="17"/>
          <w:szCs w:val="17"/>
        </w:rPr>
        <w:drawing>
          <wp:inline distT="0" distB="0" distL="0" distR="0">
            <wp:extent cx="86360" cy="86360"/>
            <wp:effectExtent l="19050" t="0" r="8890" b="0"/>
            <wp:docPr id="1" name="Picture 1" descr="ce_etf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_etf_icon"/>
                    <pic:cNvPicPr>
                      <a:picLocks noChangeAspect="1" noChangeArrowheads="1"/>
                    </pic:cNvPicPr>
                  </pic:nvPicPr>
                  <pic:blipFill>
                    <a:blip r:embed="rId8" cstate="print"/>
                    <a:srcRect/>
                    <a:stretch>
                      <a:fillRect/>
                    </a:stretch>
                  </pic:blipFill>
                  <pic:spPr bwMode="auto">
                    <a:xfrm>
                      <a:off x="0" y="0"/>
                      <a:ext cx="86360" cy="86360"/>
                    </a:xfrm>
                    <a:prstGeom prst="rect">
                      <a:avLst/>
                    </a:prstGeom>
                    <a:noFill/>
                    <a:ln w="9525">
                      <a:noFill/>
                      <a:miter lim="800000"/>
                      <a:headEnd/>
                      <a:tailEnd/>
                    </a:ln>
                  </pic:spPr>
                </pic:pic>
              </a:graphicData>
            </a:graphic>
          </wp:inline>
        </w:drawing>
      </w:r>
      <w:r>
        <w:rPr>
          <w:rFonts w:ascii="Verdana" w:hAnsi="Verdana"/>
          <w:color w:val="333333"/>
          <w:sz w:val="17"/>
          <w:szCs w:val="17"/>
        </w:rPr>
        <w:t> </w:t>
      </w:r>
      <w:r>
        <w:rPr>
          <w:rFonts w:ascii="Verdana" w:hAnsi="Verdana"/>
          <w:b/>
          <w:bCs/>
          <w:color w:val="333333"/>
          <w:sz w:val="17"/>
          <w:szCs w:val="17"/>
        </w:rPr>
        <w:t>Closed-End ETFs</w:t>
      </w:r>
      <w:r>
        <w:rPr>
          <w:rFonts w:ascii="Verdana" w:hAnsi="Verdana"/>
          <w:color w:val="333333"/>
          <w:sz w:val="17"/>
          <w:szCs w:val="17"/>
        </w:rPr>
        <w:t xml:space="preserve"> </w:t>
      </w:r>
    </w:p>
    <w:p w:rsidR="00C2451F" w:rsidRDefault="00154909" w:rsidP="00C2451F">
      <w:pPr>
        <w:rPr>
          <w:rFonts w:ascii="Verdana" w:hAnsi="Verdana"/>
          <w:color w:val="333333"/>
          <w:sz w:val="17"/>
          <w:szCs w:val="17"/>
        </w:rPr>
      </w:pPr>
      <w:r w:rsidRPr="00154909">
        <w:rPr>
          <w:rFonts w:ascii="Verdana" w:hAnsi="Verdana"/>
          <w:color w:val="333333"/>
          <w:sz w:val="17"/>
          <w:szCs w:val="17"/>
        </w:rPr>
        <w:pict>
          <v:rect id="_x0000_i1025" style="width:0;height:.75pt" o:hralign="center" o:hrstd="t" o:hrnoshade="t" o:hr="t" fillcolor="#e6ddca" stroked="f"/>
        </w:pict>
      </w:r>
    </w:p>
    <w:tbl>
      <w:tblPr>
        <w:tblW w:w="5000" w:type="pct"/>
        <w:tblCellMar>
          <w:left w:w="0" w:type="dxa"/>
          <w:right w:w="0" w:type="dxa"/>
        </w:tblCellMar>
        <w:tblLook w:val="0000"/>
      </w:tblPr>
      <w:tblGrid>
        <w:gridCol w:w="1606"/>
        <w:gridCol w:w="1796"/>
        <w:gridCol w:w="5958"/>
      </w:tblGrid>
      <w:tr w:rsidR="00C2451F" w:rsidTr="00DA4423">
        <w:tc>
          <w:tcPr>
            <w:tcW w:w="0" w:type="auto"/>
          </w:tcPr>
          <w:p w:rsidR="00C2451F" w:rsidRDefault="00C2451F" w:rsidP="00DA4423">
            <w:pPr>
              <w:pStyle w:val="NormalWeb"/>
              <w:rPr>
                <w:rFonts w:ascii="Verdana" w:hAnsi="Verdana"/>
                <w:color w:val="333333"/>
                <w:sz w:val="17"/>
                <w:szCs w:val="17"/>
              </w:rPr>
            </w:pPr>
            <w:r>
              <w:rPr>
                <w:rFonts w:ascii="Verdana" w:hAnsi="Verdana"/>
                <w:b/>
                <w:bCs/>
                <w:color w:val="333333"/>
                <w:sz w:val="17"/>
                <w:szCs w:val="17"/>
              </w:rPr>
              <w:t>Fund Quick Facts</w:t>
            </w:r>
          </w:p>
        </w:tc>
        <w:tc>
          <w:tcPr>
            <w:tcW w:w="0" w:type="auto"/>
          </w:tcPr>
          <w:p w:rsidR="00C2451F" w:rsidRDefault="00C2451F" w:rsidP="00DA4423">
            <w:pPr>
              <w:jc w:val="right"/>
              <w:rPr>
                <w:rFonts w:ascii="Verdana" w:hAnsi="Verdana"/>
                <w:color w:val="333333"/>
                <w:sz w:val="17"/>
                <w:szCs w:val="17"/>
              </w:rPr>
            </w:pPr>
            <w:r>
              <w:rPr>
                <w:rFonts w:ascii="Verdana" w:hAnsi="Verdana"/>
                <w:i/>
                <w:iCs/>
                <w:color w:val="333333"/>
                <w:sz w:val="17"/>
                <w:szCs w:val="17"/>
              </w:rPr>
              <w:t xml:space="preserve">As of </w:t>
            </w:r>
            <w:r w:rsidRPr="00AC32C2">
              <w:rPr>
                <w:rFonts w:ascii="Verdana" w:hAnsi="Verdana"/>
                <w:i/>
                <w:iCs/>
                <w:color w:val="333333"/>
              </w:rPr>
              <w:t>10/10/2008</w:t>
            </w:r>
            <w:r>
              <w:rPr>
                <w:rFonts w:ascii="Verdana" w:hAnsi="Verdana"/>
                <w:color w:val="333333"/>
                <w:sz w:val="17"/>
                <w:szCs w:val="17"/>
              </w:rPr>
              <w:t xml:space="preserve"> </w:t>
            </w:r>
          </w:p>
        </w:tc>
        <w:tc>
          <w:tcPr>
            <w:tcW w:w="0" w:type="auto"/>
          </w:tcPr>
          <w:tbl>
            <w:tblPr>
              <w:tblW w:w="0" w:type="auto"/>
              <w:tblCellMar>
                <w:left w:w="0" w:type="dxa"/>
                <w:right w:w="0" w:type="dxa"/>
              </w:tblCellMar>
              <w:tblLook w:val="0000"/>
            </w:tblPr>
            <w:tblGrid>
              <w:gridCol w:w="6"/>
            </w:tblGrid>
            <w:tr w:rsidR="00C2451F" w:rsidTr="00DA4423">
              <w:tc>
                <w:tcPr>
                  <w:tcW w:w="0" w:type="auto"/>
                </w:tcPr>
                <w:p w:rsidR="00C2451F" w:rsidRDefault="00C2451F" w:rsidP="00DA4423">
                  <w:pPr>
                    <w:rPr>
                      <w:rFonts w:ascii="Verdana" w:hAnsi="Verdana"/>
                      <w:color w:val="333333"/>
                      <w:sz w:val="17"/>
                      <w:szCs w:val="17"/>
                    </w:rPr>
                  </w:pPr>
                </w:p>
              </w:tc>
            </w:tr>
          </w:tbl>
          <w:p w:rsidR="00C2451F" w:rsidRDefault="00C2451F" w:rsidP="00DA4423">
            <w:pPr>
              <w:rPr>
                <w:rFonts w:ascii="Verdana" w:hAnsi="Verdana"/>
                <w:vanish/>
                <w:color w:val="333333"/>
                <w:sz w:val="17"/>
                <w:szCs w:val="17"/>
              </w:rPr>
            </w:pPr>
          </w:p>
          <w:tbl>
            <w:tblPr>
              <w:tblW w:w="5000" w:type="pct"/>
              <w:tblCellMar>
                <w:left w:w="0" w:type="dxa"/>
                <w:right w:w="0" w:type="dxa"/>
              </w:tblCellMar>
              <w:tblLook w:val="0000"/>
            </w:tblPr>
            <w:tblGrid>
              <w:gridCol w:w="1800"/>
              <w:gridCol w:w="714"/>
              <w:gridCol w:w="188"/>
              <w:gridCol w:w="2318"/>
              <w:gridCol w:w="938"/>
            </w:tblGrid>
            <w:tr w:rsidR="00C2451F" w:rsidTr="00DA4423">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Closing NAV:</w:t>
                  </w:r>
                </w:p>
              </w:tc>
              <w:tc>
                <w:tcPr>
                  <w:tcW w:w="0" w:type="auto"/>
                </w:tcPr>
                <w:p w:rsidR="00C2451F" w:rsidRDefault="00C2451F" w:rsidP="00DA4423">
                  <w:pPr>
                    <w:jc w:val="right"/>
                    <w:rPr>
                      <w:rFonts w:ascii="Verdana" w:hAnsi="Verdana"/>
                      <w:color w:val="333333"/>
                      <w:sz w:val="17"/>
                      <w:szCs w:val="17"/>
                    </w:rPr>
                  </w:pPr>
                  <w:r>
                    <w:rPr>
                      <w:rFonts w:ascii="Verdana" w:hAnsi="Verdana"/>
                      <w:color w:val="333333"/>
                      <w:sz w:val="17"/>
                      <w:szCs w:val="17"/>
                    </w:rPr>
                    <w:t>$</w:t>
                  </w:r>
                  <w:r w:rsidRPr="00AC32C2">
                    <w:rPr>
                      <w:rFonts w:ascii="Verdana" w:hAnsi="Verdana"/>
                      <w:b/>
                      <w:bCs/>
                      <w:color w:val="0000FF"/>
                      <w:sz w:val="18"/>
                      <w:szCs w:val="18"/>
                    </w:rPr>
                    <w:t>10.89</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   </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Current Distribution Rate:</w:t>
                  </w:r>
                </w:p>
              </w:tc>
              <w:tc>
                <w:tcPr>
                  <w:tcW w:w="0" w:type="auto"/>
                </w:tcPr>
                <w:p w:rsidR="00C2451F" w:rsidRDefault="00C2451F" w:rsidP="00DA4423">
                  <w:pPr>
                    <w:jc w:val="right"/>
                    <w:rPr>
                      <w:rFonts w:ascii="Verdana" w:hAnsi="Verdana"/>
                      <w:color w:val="333333"/>
                      <w:sz w:val="17"/>
                      <w:szCs w:val="17"/>
                    </w:rPr>
                  </w:pPr>
                  <w:r w:rsidRPr="00AC32C2">
                    <w:rPr>
                      <w:rFonts w:ascii="Verdana" w:hAnsi="Verdana"/>
                      <w:color w:val="FF0000"/>
                      <w:sz w:val="17"/>
                      <w:szCs w:val="17"/>
                    </w:rPr>
                    <w:t>24.35</w:t>
                  </w:r>
                  <w:r>
                    <w:rPr>
                      <w:rFonts w:ascii="Verdana" w:hAnsi="Verdana"/>
                      <w:color w:val="333333"/>
                      <w:sz w:val="17"/>
                      <w:szCs w:val="17"/>
                    </w:rPr>
                    <w:t>%</w:t>
                  </w:r>
                </w:p>
              </w:tc>
            </w:tr>
            <w:tr w:rsidR="00C2451F" w:rsidTr="00DA4423">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Closing Share Price:</w:t>
                  </w:r>
                </w:p>
              </w:tc>
              <w:tc>
                <w:tcPr>
                  <w:tcW w:w="0" w:type="auto"/>
                </w:tcPr>
                <w:p w:rsidR="00C2451F" w:rsidRPr="00AC32C2" w:rsidRDefault="00C2451F" w:rsidP="00DA4423">
                  <w:pPr>
                    <w:jc w:val="right"/>
                    <w:rPr>
                      <w:rFonts w:ascii="Verdana" w:hAnsi="Verdana"/>
                      <w:color w:val="FF0000"/>
                    </w:rPr>
                  </w:pPr>
                  <w:r w:rsidRPr="00AC32C2">
                    <w:rPr>
                      <w:rFonts w:ascii="Verdana" w:hAnsi="Verdana"/>
                      <w:color w:val="FF0000"/>
                    </w:rPr>
                    <w:t>$6.90</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   </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Premium/(Discount):</w:t>
                  </w:r>
                </w:p>
              </w:tc>
              <w:tc>
                <w:tcPr>
                  <w:tcW w:w="0" w:type="auto"/>
                </w:tcPr>
                <w:p w:rsidR="00C2451F" w:rsidRDefault="00C2451F" w:rsidP="00DA4423">
                  <w:pPr>
                    <w:jc w:val="right"/>
                    <w:rPr>
                      <w:rFonts w:ascii="Verdana" w:hAnsi="Verdana"/>
                      <w:color w:val="333333"/>
                      <w:sz w:val="17"/>
                      <w:szCs w:val="17"/>
                    </w:rPr>
                  </w:pPr>
                  <w:r>
                    <w:rPr>
                      <w:rFonts w:ascii="Verdana" w:hAnsi="Verdana"/>
                      <w:color w:val="333333"/>
                      <w:sz w:val="17"/>
                      <w:szCs w:val="17"/>
                    </w:rPr>
                    <w:t>-</w:t>
                  </w:r>
                  <w:r w:rsidRPr="00AC32C2">
                    <w:rPr>
                      <w:rFonts w:ascii="Verdana" w:hAnsi="Verdana"/>
                      <w:color w:val="FF0000"/>
                    </w:rPr>
                    <w:t>36.64</w:t>
                  </w:r>
                  <w:r>
                    <w:rPr>
                      <w:rFonts w:ascii="Verdana" w:hAnsi="Verdana"/>
                      <w:color w:val="333333"/>
                      <w:sz w:val="17"/>
                      <w:szCs w:val="17"/>
                    </w:rPr>
                    <w:t>%</w:t>
                  </w:r>
                </w:p>
              </w:tc>
            </w:tr>
          </w:tbl>
          <w:p w:rsidR="00C2451F" w:rsidRDefault="00154909" w:rsidP="00DA4423">
            <w:pPr>
              <w:rPr>
                <w:rFonts w:ascii="Verdana" w:hAnsi="Verdana"/>
                <w:color w:val="333333"/>
                <w:sz w:val="17"/>
                <w:szCs w:val="17"/>
              </w:rPr>
            </w:pPr>
            <w:r w:rsidRPr="00154909">
              <w:rPr>
                <w:rFonts w:ascii="Verdana" w:hAnsi="Verdana"/>
                <w:color w:val="333333"/>
                <w:sz w:val="17"/>
                <w:szCs w:val="17"/>
              </w:rPr>
              <w:pict>
                <v:rect id="_x0000_i1026" style="width:0;height:.75pt" o:hralign="center" o:hrstd="t" o:hrnoshade="t" o:hr="t" fillcolor="#e6ddca" stroked="f"/>
              </w:pict>
            </w:r>
          </w:p>
          <w:tbl>
            <w:tblPr>
              <w:tblW w:w="5000" w:type="pct"/>
              <w:tblCellMar>
                <w:left w:w="0" w:type="dxa"/>
                <w:right w:w="0" w:type="dxa"/>
              </w:tblCellMar>
              <w:tblLook w:val="0000"/>
            </w:tblPr>
            <w:tblGrid>
              <w:gridCol w:w="4456"/>
              <w:gridCol w:w="1502"/>
            </w:tblGrid>
            <w:tr w:rsidR="00C2451F" w:rsidTr="00DA4423">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52 Week High-Low NAV: $23.24-$13.82</w:t>
                  </w:r>
                </w:p>
              </w:tc>
              <w:tc>
                <w:tcPr>
                  <w:tcW w:w="0" w:type="auto"/>
                </w:tcPr>
                <w:p w:rsidR="00C2451F" w:rsidRDefault="00C2451F" w:rsidP="00DA4423">
                  <w:pPr>
                    <w:jc w:val="right"/>
                    <w:rPr>
                      <w:rFonts w:ascii="Verdana" w:hAnsi="Verdana"/>
                      <w:color w:val="333333"/>
                      <w:sz w:val="17"/>
                      <w:szCs w:val="17"/>
                    </w:rPr>
                  </w:pPr>
                  <w:r>
                    <w:rPr>
                      <w:rFonts w:ascii="Verdana" w:hAnsi="Verdana"/>
                      <w:i/>
                      <w:iCs/>
                      <w:color w:val="333333"/>
                      <w:sz w:val="17"/>
                      <w:szCs w:val="17"/>
                    </w:rPr>
                    <w:t>As of 09/30/2008</w:t>
                  </w:r>
                </w:p>
              </w:tc>
            </w:tr>
            <w:tr w:rsidR="00C2451F" w:rsidTr="00DA4423">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52 Week High-Low Share Price: $20.3500-$11.0300</w:t>
                  </w:r>
                </w:p>
              </w:tc>
              <w:tc>
                <w:tcPr>
                  <w:tcW w:w="0" w:type="auto"/>
                </w:tcPr>
                <w:p w:rsidR="00C2451F" w:rsidRDefault="00C2451F" w:rsidP="00DA4423">
                  <w:pPr>
                    <w:rPr>
                      <w:rFonts w:ascii="Verdana" w:hAnsi="Verdana"/>
                      <w:color w:val="333333"/>
                      <w:sz w:val="17"/>
                      <w:szCs w:val="17"/>
                    </w:rPr>
                  </w:pPr>
                </w:p>
              </w:tc>
            </w:tr>
          </w:tbl>
          <w:p w:rsidR="00C2451F" w:rsidRDefault="00C2451F" w:rsidP="00DA4423">
            <w:pPr>
              <w:rPr>
                <w:rFonts w:ascii="Verdana" w:hAnsi="Verdana"/>
                <w:color w:val="333333"/>
                <w:sz w:val="17"/>
                <w:szCs w:val="17"/>
              </w:rPr>
            </w:pPr>
          </w:p>
        </w:tc>
      </w:tr>
    </w:tbl>
    <w:p w:rsidR="00C2451F" w:rsidRDefault="00C2451F" w:rsidP="00C2451F">
      <w:pPr>
        <w:pStyle w:val="NormalWeb"/>
        <w:spacing w:before="0" w:beforeAutospacing="0" w:after="0" w:afterAutospacing="0"/>
        <w:rPr>
          <w:rFonts w:ascii="Verdana" w:hAnsi="Verdana"/>
          <w:vanish/>
          <w:color w:val="333333"/>
          <w:sz w:val="17"/>
          <w:szCs w:val="17"/>
        </w:rPr>
      </w:pPr>
    </w:p>
    <w:tbl>
      <w:tblPr>
        <w:tblW w:w="5000" w:type="pct"/>
        <w:tblCellMar>
          <w:left w:w="0" w:type="dxa"/>
          <w:right w:w="0" w:type="dxa"/>
        </w:tblCellMar>
        <w:tblLook w:val="0000"/>
      </w:tblPr>
      <w:tblGrid>
        <w:gridCol w:w="150"/>
        <w:gridCol w:w="6445"/>
        <w:gridCol w:w="2615"/>
        <w:gridCol w:w="150"/>
      </w:tblGrid>
      <w:tr w:rsidR="00C2451F" w:rsidTr="00DA4423">
        <w:trPr>
          <w:trHeight w:val="60"/>
        </w:trPr>
        <w:tc>
          <w:tcPr>
            <w:tcW w:w="0" w:type="auto"/>
            <w:gridSpan w:val="4"/>
            <w:shd w:val="clear" w:color="auto" w:fill="F5F2EB"/>
          </w:tcPr>
          <w:p w:rsidR="00C2451F" w:rsidRDefault="00C2451F" w:rsidP="00DA4423">
            <w:pPr>
              <w:spacing w:line="60" w:lineRule="atLeast"/>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C2451F" w:rsidTr="00DA4423">
        <w:trPr>
          <w:trHeight w:val="270"/>
        </w:trPr>
        <w:tc>
          <w:tcPr>
            <w:tcW w:w="150" w:type="dxa"/>
            <w:shd w:val="clear" w:color="auto" w:fill="F5F2EB"/>
          </w:tcPr>
          <w:p w:rsidR="00C2451F" w:rsidRDefault="00C2451F" w:rsidP="00DA4423">
            <w:pPr>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shd w:val="clear" w:color="auto" w:fill="F5F2EB"/>
          </w:tcPr>
          <w:p w:rsidR="00C2451F" w:rsidRDefault="00C2451F" w:rsidP="00DA4423">
            <w:pPr>
              <w:rPr>
                <w:rFonts w:ascii="Verdana" w:hAnsi="Verdana"/>
                <w:color w:val="333333"/>
                <w:sz w:val="17"/>
                <w:szCs w:val="17"/>
              </w:rPr>
            </w:pPr>
            <w:bookmarkStart w:id="0" w:name="Fund_Basics"/>
            <w:bookmarkEnd w:id="0"/>
            <w:r>
              <w:rPr>
                <w:rStyle w:val="fqfsectionheadtext1"/>
                <w:rFonts w:ascii="Verdana" w:hAnsi="Verdana"/>
              </w:rPr>
              <w:t>Fund Basics</w:t>
            </w:r>
          </w:p>
        </w:tc>
        <w:tc>
          <w:tcPr>
            <w:tcW w:w="0" w:type="auto"/>
            <w:shd w:val="clear" w:color="auto" w:fill="F5F2EB"/>
          </w:tcPr>
          <w:p w:rsidR="00C2451F" w:rsidRDefault="00154909" w:rsidP="00DA4423">
            <w:pPr>
              <w:jc w:val="right"/>
              <w:rPr>
                <w:rFonts w:ascii="Verdana" w:hAnsi="Verdana"/>
                <w:color w:val="333333"/>
                <w:sz w:val="17"/>
                <w:szCs w:val="17"/>
              </w:rPr>
            </w:pPr>
            <w:hyperlink r:id="rId10" w:anchor="top#top" w:history="1">
              <w:r w:rsidR="00C2451F">
                <w:rPr>
                  <w:rStyle w:val="Hyperlink"/>
                  <w:rFonts w:ascii="Verdana" w:hAnsi="Verdana"/>
                  <w:sz w:val="17"/>
                  <w:szCs w:val="17"/>
                </w:rPr>
                <w:t>top</w:t>
              </w:r>
              <w:r w:rsidR="00C2451F">
                <w:rPr>
                  <w:rFonts w:ascii="Verdana" w:hAnsi="Verdana"/>
                  <w:noProof/>
                  <w:color w:val="3B5F39"/>
                  <w:sz w:val="17"/>
                  <w:szCs w:val="17"/>
                </w:rPr>
                <w:drawing>
                  <wp:inline distT="0" distB="0" distL="0" distR="0">
                    <wp:extent cx="106045" cy="106045"/>
                    <wp:effectExtent l="19050" t="0" r="8255" b="0"/>
                    <wp:docPr id="6" name="Picture 6" descr="to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Arrow"/>
                            <pic:cNvPicPr>
                              <a:picLocks noChangeAspect="1" noChangeArrowheads="1"/>
                            </pic:cNvPicPr>
                          </pic:nvPicPr>
                          <pic:blipFill>
                            <a:blip r:embed="rId11"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hyperlink>
          </w:p>
        </w:tc>
        <w:tc>
          <w:tcPr>
            <w:tcW w:w="150" w:type="dxa"/>
            <w:shd w:val="clear" w:color="auto" w:fill="F5F2EB"/>
          </w:tcPr>
          <w:p w:rsidR="00C2451F" w:rsidRDefault="00C2451F" w:rsidP="00DA4423">
            <w:pPr>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7" name="Picture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C2451F" w:rsidTr="00DA4423">
        <w:trPr>
          <w:trHeight w:val="30"/>
        </w:trPr>
        <w:tc>
          <w:tcPr>
            <w:tcW w:w="0" w:type="auto"/>
            <w:gridSpan w:val="4"/>
          </w:tcPr>
          <w:p w:rsidR="00C2451F" w:rsidRDefault="00C2451F" w:rsidP="00DA4423">
            <w:pPr>
              <w:spacing w:line="30" w:lineRule="atLeast"/>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8" name="Picture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C2451F" w:rsidTr="00DA4423">
        <w:trPr>
          <w:trHeight w:val="15"/>
        </w:trPr>
        <w:tc>
          <w:tcPr>
            <w:tcW w:w="0" w:type="auto"/>
            <w:gridSpan w:val="4"/>
            <w:shd w:val="clear" w:color="auto" w:fill="E7DECC"/>
          </w:tcPr>
          <w:p w:rsidR="00C2451F" w:rsidRDefault="00C2451F" w:rsidP="00DA4423">
            <w:pPr>
              <w:spacing w:line="15" w:lineRule="atLeast"/>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9" name="Picture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C2451F" w:rsidRDefault="00C2451F" w:rsidP="00C2451F">
      <w:pPr>
        <w:pStyle w:val="NormalWeb"/>
        <w:spacing w:before="0" w:beforeAutospacing="0" w:after="0" w:afterAutospacing="0"/>
        <w:rPr>
          <w:rFonts w:ascii="Verdana" w:hAnsi="Verdana"/>
          <w:vanish/>
          <w:color w:val="333333"/>
          <w:sz w:val="17"/>
          <w:szCs w:val="17"/>
        </w:rPr>
      </w:pPr>
    </w:p>
    <w:tbl>
      <w:tblPr>
        <w:tblW w:w="5000" w:type="pct"/>
        <w:tblCellMar>
          <w:left w:w="0" w:type="dxa"/>
          <w:right w:w="0" w:type="dxa"/>
        </w:tblCellMar>
        <w:tblLook w:val="0000"/>
      </w:tblPr>
      <w:tblGrid>
        <w:gridCol w:w="2294"/>
        <w:gridCol w:w="2750"/>
        <w:gridCol w:w="2449"/>
        <w:gridCol w:w="1867"/>
      </w:tblGrid>
      <w:tr w:rsidR="00C2451F" w:rsidTr="00DA4423">
        <w:tc>
          <w:tcPr>
            <w:tcW w:w="0" w:type="auto"/>
            <w:gridSpan w:val="4"/>
          </w:tcPr>
          <w:p w:rsidR="00C2451F" w:rsidRDefault="00C2451F" w:rsidP="00DA4423">
            <w:pPr>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10" name="Picture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C2451F" w:rsidTr="00DA4423">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Category:</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Growth &amp; Income</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Inception Date:</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02/24/2004</w:t>
            </w:r>
          </w:p>
        </w:tc>
      </w:tr>
      <w:tr w:rsidR="00C2451F" w:rsidTr="00DA4423">
        <w:tc>
          <w:tcPr>
            <w:tcW w:w="0" w:type="auto"/>
            <w:gridSpan w:val="4"/>
            <w:shd w:val="clear" w:color="auto" w:fill="E7DECC"/>
          </w:tcPr>
          <w:p w:rsidR="00C2451F" w:rsidRDefault="00C2451F" w:rsidP="00DA4423">
            <w:pPr>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11"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C2451F" w:rsidTr="00DA4423">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Fund Sponsor:</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Legg Mason</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Inception NAV:</w:t>
            </w:r>
          </w:p>
        </w:tc>
        <w:tc>
          <w:tcPr>
            <w:tcW w:w="0" w:type="auto"/>
          </w:tcPr>
          <w:p w:rsidR="00C2451F" w:rsidRDefault="00C2451F" w:rsidP="00DA4423">
            <w:pPr>
              <w:rPr>
                <w:rFonts w:ascii="Verdana" w:hAnsi="Verdana"/>
                <w:color w:val="333333"/>
                <w:sz w:val="17"/>
                <w:szCs w:val="17"/>
              </w:rPr>
            </w:pPr>
            <w:r>
              <w:rPr>
                <w:rFonts w:ascii="Verdana" w:hAnsi="Verdana"/>
                <w:color w:val="333333"/>
                <w:sz w:val="17"/>
                <w:szCs w:val="17"/>
              </w:rPr>
              <w:t>$19.06</w:t>
            </w:r>
          </w:p>
        </w:tc>
      </w:tr>
      <w:tr w:rsidR="00C2451F" w:rsidTr="00DA4423">
        <w:tc>
          <w:tcPr>
            <w:tcW w:w="0" w:type="auto"/>
            <w:gridSpan w:val="4"/>
            <w:shd w:val="clear" w:color="auto" w:fill="E7DECC"/>
          </w:tcPr>
          <w:p w:rsidR="00C2451F" w:rsidRDefault="00C2451F" w:rsidP="00DA4423">
            <w:pPr>
              <w:rPr>
                <w:rFonts w:ascii="Verdana" w:hAnsi="Verdana"/>
                <w:color w:val="333333"/>
                <w:sz w:val="17"/>
                <w:szCs w:val="17"/>
              </w:rPr>
            </w:pPr>
            <w:r>
              <w:rPr>
                <w:rFonts w:ascii="Verdana" w:hAnsi="Verdana"/>
                <w:noProof/>
                <w:color w:val="333333"/>
                <w:sz w:val="17"/>
                <w:szCs w:val="17"/>
              </w:rPr>
              <w:drawing>
                <wp:inline distT="0" distB="0" distL="0" distR="0">
                  <wp:extent cx="6350" cy="6350"/>
                  <wp:effectExtent l="0" t="0" r="0" b="0"/>
                  <wp:docPr id="12" name="Picture 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C2451F" w:rsidRDefault="00C2451F" w:rsidP="00FE09C1"/>
    <w:p w:rsidR="00A2430F" w:rsidRDefault="00A2430F" w:rsidP="00FE09C1">
      <w:r>
        <w:lastRenderedPageBreak/>
        <w:t xml:space="preserve">  According to an investor’s perspective, this </w:t>
      </w:r>
      <w:r w:rsidR="00C2451F">
        <w:t xml:space="preserve">extreme discount </w:t>
      </w:r>
      <w:r w:rsidR="00F54D12">
        <w:t xml:space="preserve">may have </w:t>
      </w:r>
      <w:r>
        <w:t>represented a calamity or (at least in retrospect) a golden opportun</w:t>
      </w:r>
      <w:r w:rsidR="00F54D12">
        <w:t>ity.  It was a calamity for investor</w:t>
      </w:r>
      <w:r>
        <w:t xml:space="preserve">s </w:t>
      </w:r>
      <w:r w:rsidR="00F54D12">
        <w:t>in</w:t>
      </w:r>
      <w:r>
        <w:t xml:space="preserve"> </w:t>
      </w:r>
      <w:r w:rsidR="00C2451F">
        <w:t xml:space="preserve">SCD and similar </w:t>
      </w:r>
      <w:r>
        <w:t xml:space="preserve">CEFs who needed </w:t>
      </w:r>
      <w:r w:rsidR="00F54D12">
        <w:t xml:space="preserve">to sell the CEFs to generate </w:t>
      </w:r>
      <w:r>
        <w:t>cash, as the</w:t>
      </w:r>
      <w:r w:rsidR="00C2451F">
        <w:t xml:space="preserve"> NAVs of the</w:t>
      </w:r>
      <w:r>
        <w:t xml:space="preserve">ir </w:t>
      </w:r>
      <w:r w:rsidR="00C2451F">
        <w:t>funds</w:t>
      </w:r>
      <w:r>
        <w:t xml:space="preserve"> had typically </w:t>
      </w:r>
      <w:r w:rsidR="004B3A5A">
        <w:t>halved in value like the market as a whole</w:t>
      </w:r>
      <w:r>
        <w:t>, but had declined even more as the discount from NAV for CEFs went from single digits prior to the market collapse to greater than 20% discounts for many CEFs, a</w:t>
      </w:r>
      <w:r w:rsidR="00C2451F">
        <w:t>nd to discounts that</w:t>
      </w:r>
      <w:r>
        <w:t xml:space="preserve"> exceeded 30% for more than a few solid, well-managed CEFs.</w:t>
      </w:r>
      <w:r w:rsidR="004D1EAA">
        <w:rPr>
          <w:rStyle w:val="FootnoteReference"/>
        </w:rPr>
        <w:footnoteReference w:id="8"/>
      </w:r>
      <w:r>
        <w:t xml:space="preserve">  As it turns out, the widening of the discount to NAV of CEFs represented a great buying opportunity, as investors who bought CEFs benefitted from the subsequent turnaround in the market</w:t>
      </w:r>
      <w:r w:rsidR="00F54D12">
        <w:t xml:space="preserve">, but received an extra boost from </w:t>
      </w:r>
      <w:r>
        <w:t xml:space="preserve">the narrowing of the discount to NAV </w:t>
      </w:r>
      <w:r w:rsidR="00F54D12">
        <w:t>that subsequently occurred.</w:t>
      </w:r>
      <w:r>
        <w:t xml:space="preserve"> </w:t>
      </w:r>
    </w:p>
    <w:p w:rsidR="00773CE9" w:rsidRDefault="00773CE9" w:rsidP="00FE09C1">
      <w:pPr>
        <w:rPr>
          <w:b/>
        </w:rPr>
      </w:pPr>
    </w:p>
    <w:p w:rsidR="00773CE9" w:rsidRDefault="00773CE9" w:rsidP="00FE09C1">
      <w:pPr>
        <w:rPr>
          <w:b/>
        </w:rPr>
      </w:pPr>
      <w:r>
        <w:rPr>
          <w:b/>
        </w:rPr>
        <w:t>+++++++++++++++++++++++++++++++++++++++++++++++++++++++++++++++++++++++++++++++++++++</w:t>
      </w:r>
    </w:p>
    <w:p w:rsidR="004D1EAA" w:rsidRPr="004D1EAA" w:rsidRDefault="004D1EAA" w:rsidP="00FE09C1">
      <w:pPr>
        <w:rPr>
          <w:b/>
        </w:rPr>
      </w:pPr>
      <w:r w:rsidRPr="004D1EAA">
        <w:rPr>
          <w:b/>
        </w:rPr>
        <w:t>An Aside: Did your financial advisor represent your best interests in the fall of 2008?</w:t>
      </w:r>
    </w:p>
    <w:p w:rsidR="00F54D12" w:rsidRDefault="004D1EAA" w:rsidP="00FE09C1">
      <w:r>
        <w:t xml:space="preserve">In the fall of 2008 I sent an e-mail to friends, relatives, and some former students that CEFs were trading for historically wide discounts from NAV, and that it might be a good time to think about selling open-end funds and buying </w:t>
      </w:r>
      <w:r w:rsidR="00773CE9">
        <w:t>CEFs.  I provided an</w:t>
      </w:r>
      <w:r>
        <w:t xml:space="preserve"> article discussing CEFs and the discount phenomenon and suggested that it might be worth educating oneself on this phenomenon.  (Please note, though I have taught investments at the university level many times, I am not a registered financial advisor, and my e-mail advised education on the matter, and did not specifically recommend a strategy.)</w:t>
      </w:r>
      <w:r w:rsidR="00773CE9">
        <w:t xml:space="preserve">  </w:t>
      </w:r>
      <w:r w:rsidR="00F54D12">
        <w:t xml:space="preserve">One of my former students </w:t>
      </w:r>
      <w:r w:rsidR="004442CD">
        <w:t xml:space="preserve">who had become an investment advisor </w:t>
      </w:r>
      <w:r w:rsidR="00F54D12">
        <w:t>and I c</w:t>
      </w:r>
      <w:r w:rsidR="00430C13">
        <w:t xml:space="preserve">orresponded at length on </w:t>
      </w:r>
      <w:r w:rsidR="00F54D12">
        <w:t xml:space="preserve">this </w:t>
      </w:r>
      <w:r w:rsidR="00430C13">
        <w:t>topic</w:t>
      </w:r>
      <w:r w:rsidR="00F54D12">
        <w:t xml:space="preserve">.  Though he liked the idea, his employer had an agreement with a particular fund group that prevented </w:t>
      </w:r>
      <w:r w:rsidR="004442CD">
        <w:t>him</w:t>
      </w:r>
      <w:r w:rsidR="00F54D12">
        <w:t xml:space="preserve"> from being able to overtly recommend buying discounted CEFs.  </w:t>
      </w:r>
      <w:r w:rsidR="00430C13">
        <w:t>If your</w:t>
      </w:r>
      <w:r w:rsidR="00F54D12">
        <w:t xml:space="preserve"> financial advisor </w:t>
      </w:r>
      <w:r w:rsidR="00430C13">
        <w:t xml:space="preserve">is </w:t>
      </w:r>
      <w:r w:rsidR="00F54D12">
        <w:t>similarly constrained</w:t>
      </w:r>
      <w:r w:rsidR="00430C13">
        <w:t>, can (s</w:t>
      </w:r>
      <w:proofErr w:type="gramStart"/>
      <w:r w:rsidR="00430C13">
        <w:t>)he</w:t>
      </w:r>
      <w:proofErr w:type="gramEnd"/>
      <w:r w:rsidR="00430C13">
        <w:t xml:space="preserve"> best represent your financial interests</w:t>
      </w:r>
      <w:r w:rsidR="00F54D12">
        <w:t>?</w:t>
      </w:r>
    </w:p>
    <w:p w:rsidR="00F54D12" w:rsidRDefault="00F54D12" w:rsidP="00FE09C1">
      <w:r>
        <w:t>+++++++++++++++++++++++++++++++++++++++++++++++++++++++++++++++++++++++++++++++++++++</w:t>
      </w:r>
    </w:p>
    <w:p w:rsidR="00F54D12" w:rsidRDefault="00F54D12" w:rsidP="00FE09C1"/>
    <w:p w:rsidR="00A2430F" w:rsidRDefault="00A2430F" w:rsidP="00FE09C1">
      <w:r>
        <w:t>Th</w:t>
      </w:r>
      <w:r w:rsidR="00F54D12">
        <w:t xml:space="preserve">e increase in the discount from NAV by most CEFs during the financial crisis </w:t>
      </w:r>
      <w:r>
        <w:t xml:space="preserve">is </w:t>
      </w:r>
      <w:r w:rsidR="00F54D12">
        <w:t xml:space="preserve">a </w:t>
      </w:r>
      <w:r>
        <w:t>phenomenon</w:t>
      </w:r>
      <w:r w:rsidR="00F54D12">
        <w:t xml:space="preserve"> </w:t>
      </w:r>
      <w:proofErr w:type="gramStart"/>
      <w:r w:rsidR="00F54D12">
        <w:t xml:space="preserve">that </w:t>
      </w:r>
      <w:r>
        <w:t xml:space="preserve"> may</w:t>
      </w:r>
      <w:proofErr w:type="gramEnd"/>
      <w:r>
        <w:t xml:space="preserve"> partially explain why they typically sell for a discount, to wit, they exhibit greater price volatility than open-end funds.  Thus, as previously discussed, the fact that the typical CEF offers an advantage in return because it sells for a discount from NAV comes at a price, CEFs are </w:t>
      </w:r>
      <w:r w:rsidR="004442CD">
        <w:t xml:space="preserve">likely to exhibit greater </w:t>
      </w:r>
      <w:r>
        <w:t xml:space="preserve">price volatility.  </w:t>
      </w:r>
    </w:p>
    <w:p w:rsidR="00F54D12" w:rsidRDefault="00A2430F" w:rsidP="00FE09C1">
      <w:r>
        <w:t xml:space="preserve"> </w:t>
      </w:r>
    </w:p>
    <w:p w:rsidR="00F54D12" w:rsidRPr="00C514FA" w:rsidRDefault="00F54D12" w:rsidP="00FE09C1">
      <w:pPr>
        <w:rPr>
          <w:b/>
        </w:rPr>
      </w:pPr>
      <w:r w:rsidRPr="00C514FA">
        <w:rPr>
          <w:b/>
        </w:rPr>
        <w:t>A</w:t>
      </w:r>
      <w:r w:rsidR="00C514FA">
        <w:rPr>
          <w:b/>
        </w:rPr>
        <w:t>re CEFs Priced as Efficiently as Open-End Mutual Funds?</w:t>
      </w:r>
    </w:p>
    <w:p w:rsidR="00A2430F" w:rsidRDefault="00F54D12" w:rsidP="00FE09C1">
      <w:r>
        <w:t xml:space="preserve">The efficient market hypothesis is the focus of a significant chapter in almost every investment text book </w:t>
      </w:r>
      <w:r w:rsidR="00430C13">
        <w:t xml:space="preserve">used </w:t>
      </w:r>
      <w:r>
        <w:t xml:space="preserve">in U.S. colleges and universities.  </w:t>
      </w:r>
      <w:r w:rsidR="00C514FA">
        <w:t xml:space="preserve">This hypothesis argues that securities (including mutual funds) tend to be </w:t>
      </w:r>
      <w:r w:rsidR="004442CD">
        <w:t>f</w:t>
      </w:r>
      <w:r w:rsidR="00C514FA">
        <w:t xml:space="preserve">airly priced.  However many observers of financial markets (this writer included) will argue that closely followed securities (GE, IBM, Exxon) tend to be priced fairly </w:t>
      </w:r>
      <w:r w:rsidR="004442CD">
        <w:t xml:space="preserve">more consistently </w:t>
      </w:r>
      <w:r w:rsidR="00C514FA">
        <w:t>because they are followed by a multitude of high-powered analysts looking</w:t>
      </w:r>
      <w:r w:rsidR="00773CE9">
        <w:t xml:space="preserve"> for opportunities to buy low and</w:t>
      </w:r>
      <w:r w:rsidR="00C514FA">
        <w:t xml:space="preserve"> sell high.  </w:t>
      </w:r>
      <w:r w:rsidR="00C514FA">
        <w:lastRenderedPageBreak/>
        <w:t>In cont</w:t>
      </w:r>
      <w:r w:rsidR="00430C13">
        <w:t xml:space="preserve">rast, many CEFs (as well as </w:t>
      </w:r>
      <w:r w:rsidR="00C514FA">
        <w:t xml:space="preserve">preferred stocks </w:t>
      </w:r>
      <w:r w:rsidR="00430C13">
        <w:t xml:space="preserve">and convertible securities </w:t>
      </w:r>
      <w:r w:rsidR="00C514FA">
        <w:t>for that matter) trade infrequently</w:t>
      </w:r>
      <w:r w:rsidR="00430C13">
        <w:t xml:space="preserve"> and may not be followed by </w:t>
      </w:r>
      <w:r w:rsidR="00C514FA">
        <w:t>high-powered analysts.  Aren’t they more lik</w:t>
      </w:r>
      <w:r w:rsidR="00E57B13">
        <w:t>ely to be temporarily either high or</w:t>
      </w:r>
      <w:r w:rsidR="00C514FA">
        <w:t xml:space="preserve"> low </w:t>
      </w:r>
      <w:r w:rsidR="00E57B13">
        <w:t xml:space="preserve">relative to “fair value” </w:t>
      </w:r>
      <w:r w:rsidR="00C514FA">
        <w:t xml:space="preserve">because they do not face the continuing scrutiny </w:t>
      </w:r>
      <w:r w:rsidR="004442CD">
        <w:t>of sophisticated stock analysts?</w:t>
      </w:r>
      <w:r w:rsidR="00C514FA">
        <w:t xml:space="preserve">  This, in combination with the discount from NAV often observed for CEFs, may suggest that CEFs are a useful investment vehicle for small and medium investors t</w:t>
      </w:r>
      <w:r w:rsidR="00430C13">
        <w:t>hat (at least sometimes) offer an</w:t>
      </w:r>
      <w:r w:rsidR="00C514FA">
        <w:t xml:space="preserve"> opportunity to make above-average returns </w:t>
      </w:r>
      <w:r w:rsidR="00773CE9">
        <w:t>relative to their risk</w:t>
      </w:r>
      <w:r w:rsidR="00E57B13">
        <w:t xml:space="preserve"> exposure</w:t>
      </w:r>
      <w:r w:rsidR="00C514FA">
        <w:t>.</w:t>
      </w:r>
    </w:p>
    <w:p w:rsidR="0082152D" w:rsidRDefault="0082152D" w:rsidP="00FE09C1"/>
    <w:p w:rsidR="00F36615" w:rsidRPr="00F36615" w:rsidRDefault="00F36615" w:rsidP="00F36615">
      <w:pPr>
        <w:spacing w:line="240" w:lineRule="auto"/>
        <w:ind w:right="480"/>
        <w:jc w:val="center"/>
        <w:textAlignment w:val="baseline"/>
        <w:outlineLvl w:val="0"/>
        <w:rPr>
          <w:rFonts w:ascii="Arial" w:eastAsia="Times New Roman" w:hAnsi="Arial" w:cs="Arial"/>
          <w:b/>
          <w:color w:val="000000"/>
          <w:sz w:val="18"/>
          <w:szCs w:val="18"/>
        </w:rPr>
      </w:pPr>
      <w:r w:rsidRPr="00F36615">
        <w:rPr>
          <w:rFonts w:ascii="Arial" w:eastAsia="Times New Roman" w:hAnsi="Arial" w:cs="Arial"/>
          <w:b/>
          <w:color w:val="000000"/>
          <w:sz w:val="18"/>
          <w:szCs w:val="18"/>
        </w:rPr>
        <w:t>Selected Bibliography</w:t>
      </w:r>
      <w:r w:rsidR="005D1154">
        <w:rPr>
          <w:rFonts w:ascii="Arial" w:eastAsia="Times New Roman" w:hAnsi="Arial" w:cs="Arial"/>
          <w:b/>
          <w:color w:val="000000"/>
          <w:sz w:val="18"/>
          <w:szCs w:val="18"/>
        </w:rPr>
        <w:t xml:space="preserve"> with </w:t>
      </w:r>
      <w:r w:rsidR="00430C13">
        <w:rPr>
          <w:rFonts w:ascii="Arial" w:eastAsia="Times New Roman" w:hAnsi="Arial" w:cs="Arial"/>
          <w:b/>
          <w:color w:val="000000"/>
          <w:sz w:val="18"/>
          <w:szCs w:val="18"/>
        </w:rPr>
        <w:t xml:space="preserve">selected </w:t>
      </w:r>
      <w:r w:rsidR="005D1154">
        <w:rPr>
          <w:rFonts w:ascii="Arial" w:eastAsia="Times New Roman" w:hAnsi="Arial" w:cs="Arial"/>
          <w:b/>
          <w:color w:val="000000"/>
          <w:sz w:val="18"/>
          <w:szCs w:val="18"/>
        </w:rPr>
        <w:t>comments</w:t>
      </w:r>
      <w:r w:rsidR="00430C13">
        <w:rPr>
          <w:rFonts w:ascii="Arial" w:eastAsia="Times New Roman" w:hAnsi="Arial" w:cs="Arial"/>
          <w:b/>
          <w:color w:val="000000"/>
          <w:sz w:val="18"/>
          <w:szCs w:val="18"/>
        </w:rPr>
        <w:t xml:space="preserve"> by </w:t>
      </w:r>
      <w:proofErr w:type="spellStart"/>
      <w:r w:rsidR="00430C13">
        <w:rPr>
          <w:rFonts w:ascii="Arial" w:eastAsia="Times New Roman" w:hAnsi="Arial" w:cs="Arial"/>
          <w:b/>
          <w:color w:val="000000"/>
          <w:sz w:val="18"/>
          <w:szCs w:val="18"/>
        </w:rPr>
        <w:t>RLosey</w:t>
      </w:r>
      <w:proofErr w:type="spellEnd"/>
    </w:p>
    <w:p w:rsidR="00F36615" w:rsidRDefault="00F36615" w:rsidP="006511E5">
      <w:pPr>
        <w:spacing w:line="240" w:lineRule="auto"/>
        <w:ind w:right="480"/>
        <w:textAlignment w:val="baseline"/>
        <w:outlineLvl w:val="0"/>
        <w:rPr>
          <w:rFonts w:ascii="Arial" w:eastAsia="Times New Roman" w:hAnsi="Arial" w:cs="Arial"/>
          <w:color w:val="000000"/>
          <w:sz w:val="18"/>
          <w:szCs w:val="18"/>
        </w:rPr>
      </w:pPr>
    </w:p>
    <w:p w:rsidR="0082152D" w:rsidRDefault="00F4780E" w:rsidP="006511E5">
      <w:pPr>
        <w:spacing w:line="240" w:lineRule="auto"/>
        <w:ind w:right="480"/>
        <w:textAlignment w:val="baseline"/>
        <w:outlineLvl w:val="0"/>
        <w:rPr>
          <w:rFonts w:ascii="Arial" w:eastAsia="Times New Roman" w:hAnsi="Arial" w:cs="Arial"/>
          <w:bCs/>
          <w:color w:val="000000"/>
          <w:kern w:val="36"/>
          <w:sz w:val="18"/>
          <w:szCs w:val="18"/>
        </w:rPr>
      </w:pPr>
      <w:r>
        <w:rPr>
          <w:rFonts w:ascii="Arial" w:eastAsia="Times New Roman" w:hAnsi="Arial" w:cs="Arial"/>
          <w:color w:val="000000"/>
          <w:sz w:val="18"/>
          <w:szCs w:val="18"/>
        </w:rPr>
        <w:t xml:space="preserve">[1] </w:t>
      </w:r>
      <w:r w:rsidR="0082152D" w:rsidRPr="0082152D">
        <w:rPr>
          <w:rFonts w:ascii="Arial" w:eastAsia="Times New Roman" w:hAnsi="Arial" w:cs="Arial"/>
          <w:color w:val="000000"/>
          <w:sz w:val="18"/>
          <w:szCs w:val="18"/>
        </w:rPr>
        <w:t>Boudreaux, Kenneth J.,</w:t>
      </w:r>
      <w:r w:rsidR="0082152D" w:rsidRPr="0082152D">
        <w:rPr>
          <w:rFonts w:ascii="Arial" w:eastAsia="Times New Roman" w:hAnsi="Arial" w:cs="Arial"/>
          <w:bCs/>
          <w:color w:val="000000"/>
          <w:kern w:val="36"/>
          <w:sz w:val="18"/>
          <w:szCs w:val="18"/>
        </w:rPr>
        <w:t xml:space="preserve"> “D</w:t>
      </w:r>
      <w:r w:rsidR="00BB574C">
        <w:rPr>
          <w:rFonts w:ascii="Arial" w:eastAsia="Times New Roman" w:hAnsi="Arial" w:cs="Arial"/>
          <w:bCs/>
          <w:color w:val="000000"/>
          <w:kern w:val="36"/>
          <w:sz w:val="18"/>
          <w:szCs w:val="18"/>
        </w:rPr>
        <w:t>iscounts</w:t>
      </w:r>
      <w:r w:rsidR="0082152D" w:rsidRPr="0082152D">
        <w:rPr>
          <w:rFonts w:ascii="Arial" w:eastAsia="Times New Roman" w:hAnsi="Arial" w:cs="Arial"/>
          <w:bCs/>
          <w:color w:val="000000"/>
          <w:kern w:val="36"/>
          <w:sz w:val="18"/>
          <w:szCs w:val="18"/>
        </w:rPr>
        <w:t xml:space="preserve"> </w:t>
      </w:r>
      <w:r w:rsidR="00BB574C">
        <w:rPr>
          <w:rFonts w:ascii="Arial" w:eastAsia="Times New Roman" w:hAnsi="Arial" w:cs="Arial"/>
          <w:bCs/>
          <w:color w:val="000000"/>
          <w:kern w:val="36"/>
          <w:sz w:val="18"/>
          <w:szCs w:val="18"/>
        </w:rPr>
        <w:t xml:space="preserve">and Premiums on Closed-end Mutual Funds: A Study in Valuation, </w:t>
      </w:r>
      <w:r w:rsidR="00BB574C" w:rsidRPr="00BB574C">
        <w:rPr>
          <w:rFonts w:ascii="Arial" w:eastAsia="Times New Roman" w:hAnsi="Arial" w:cs="Arial"/>
          <w:bCs/>
          <w:i/>
          <w:color w:val="000000"/>
          <w:kern w:val="36"/>
          <w:sz w:val="18"/>
          <w:szCs w:val="18"/>
        </w:rPr>
        <w:t>Jou</w:t>
      </w:r>
      <w:r w:rsidR="0082152D" w:rsidRPr="00BB574C">
        <w:rPr>
          <w:rFonts w:ascii="Arial" w:eastAsia="Times New Roman" w:hAnsi="Arial" w:cs="Arial"/>
          <w:bCs/>
          <w:i/>
          <w:color w:val="000000"/>
          <w:kern w:val="36"/>
          <w:sz w:val="18"/>
          <w:szCs w:val="18"/>
        </w:rPr>
        <w:t>rnal of Finance</w:t>
      </w:r>
      <w:r w:rsidR="0082152D" w:rsidRPr="0082152D">
        <w:rPr>
          <w:rFonts w:ascii="Arial" w:eastAsia="Times New Roman" w:hAnsi="Arial" w:cs="Arial"/>
          <w:bCs/>
          <w:color w:val="000000"/>
          <w:kern w:val="36"/>
          <w:sz w:val="18"/>
          <w:szCs w:val="18"/>
        </w:rPr>
        <w:t>, May 1973</w:t>
      </w:r>
      <w:r w:rsidR="00F36615">
        <w:rPr>
          <w:rFonts w:ascii="Arial" w:eastAsia="Times New Roman" w:hAnsi="Arial" w:cs="Arial"/>
          <w:bCs/>
          <w:color w:val="000000"/>
          <w:kern w:val="36"/>
          <w:sz w:val="18"/>
          <w:szCs w:val="18"/>
        </w:rPr>
        <w:t xml:space="preserve">, </w:t>
      </w:r>
      <w:r w:rsidR="00F36615" w:rsidRPr="00F36615">
        <w:rPr>
          <w:rFonts w:ascii="Arial" w:eastAsia="Times New Roman" w:hAnsi="Arial" w:cs="Arial"/>
          <w:bCs/>
          <w:color w:val="000000"/>
          <w:kern w:val="36"/>
          <w:sz w:val="18"/>
          <w:szCs w:val="18"/>
        </w:rPr>
        <w:t xml:space="preserve">pp. </w:t>
      </w:r>
      <w:r w:rsidR="00F36615" w:rsidRPr="00F36615">
        <w:rPr>
          <w:rFonts w:ascii="Arial" w:hAnsi="Arial" w:cs="Arial"/>
          <w:bCs/>
          <w:color w:val="007E8B"/>
          <w:sz w:val="18"/>
          <w:szCs w:val="18"/>
          <w:bdr w:val="none" w:sz="0" w:space="0" w:color="auto" w:frame="1"/>
          <w:shd w:val="clear" w:color="auto" w:fill="FFFFFF"/>
        </w:rPr>
        <w:t>515–522</w:t>
      </w:r>
      <w:r w:rsidR="00F36615" w:rsidRPr="00F36615">
        <w:rPr>
          <w:rFonts w:ascii="Arial" w:hAnsi="Arial" w:cs="Arial"/>
          <w:color w:val="A3A2A2"/>
          <w:sz w:val="18"/>
          <w:szCs w:val="18"/>
          <w:shd w:val="clear" w:color="auto" w:fill="FFFFFF"/>
        </w:rPr>
        <w:t>.</w:t>
      </w:r>
    </w:p>
    <w:p w:rsidR="00D50696" w:rsidRDefault="00D50696" w:rsidP="006511E5">
      <w:pPr>
        <w:pStyle w:val="Heading1"/>
        <w:spacing w:before="0" w:beforeAutospacing="0" w:after="0" w:afterAutospacing="0"/>
        <w:ind w:right="480"/>
        <w:textAlignment w:val="baseline"/>
        <w:rPr>
          <w:rStyle w:val="maintitle"/>
          <w:rFonts w:ascii="Arial" w:hAnsi="Arial" w:cs="Arial"/>
          <w:b w:val="0"/>
          <w:color w:val="000000"/>
          <w:sz w:val="18"/>
          <w:szCs w:val="18"/>
          <w:bdr w:val="none" w:sz="0" w:space="0" w:color="auto" w:frame="1"/>
        </w:rPr>
      </w:pPr>
    </w:p>
    <w:p w:rsidR="00D50696" w:rsidRPr="00F20A31" w:rsidRDefault="00F4780E" w:rsidP="006511E5">
      <w:pPr>
        <w:pStyle w:val="Heading1"/>
        <w:spacing w:before="0" w:beforeAutospacing="0" w:after="0" w:afterAutospacing="0"/>
        <w:ind w:right="480"/>
        <w:textAlignment w:val="baseline"/>
        <w:rPr>
          <w:rFonts w:ascii="Arial" w:hAnsi="Arial" w:cs="Arial"/>
          <w:b w:val="0"/>
          <w:bCs w:val="0"/>
          <w:color w:val="007E8B"/>
          <w:sz w:val="18"/>
          <w:szCs w:val="18"/>
          <w:bdr w:val="none" w:sz="0" w:space="0" w:color="auto" w:frame="1"/>
        </w:rPr>
      </w:pPr>
      <w:r>
        <w:rPr>
          <w:rStyle w:val="maintitle"/>
          <w:rFonts w:ascii="Arial" w:hAnsi="Arial" w:cs="Arial"/>
          <w:b w:val="0"/>
          <w:color w:val="000000"/>
          <w:sz w:val="18"/>
          <w:szCs w:val="18"/>
          <w:bdr w:val="none" w:sz="0" w:space="0" w:color="auto" w:frame="1"/>
        </w:rPr>
        <w:t xml:space="preserve">[2] </w:t>
      </w:r>
      <w:proofErr w:type="spellStart"/>
      <w:r w:rsidR="00D50696" w:rsidRPr="00F20A31">
        <w:rPr>
          <w:rStyle w:val="maintitle"/>
          <w:rFonts w:ascii="Arial" w:hAnsi="Arial" w:cs="Arial"/>
          <w:b w:val="0"/>
          <w:color w:val="000000"/>
          <w:sz w:val="18"/>
          <w:szCs w:val="18"/>
          <w:bdr w:val="none" w:sz="0" w:space="0" w:color="auto" w:frame="1"/>
        </w:rPr>
        <w:t>Chandar</w:t>
      </w:r>
      <w:proofErr w:type="spellEnd"/>
      <w:r w:rsidR="00D50696" w:rsidRPr="00F20A31">
        <w:rPr>
          <w:rStyle w:val="maintitle"/>
          <w:rFonts w:ascii="Arial" w:hAnsi="Arial" w:cs="Arial"/>
          <w:b w:val="0"/>
          <w:color w:val="000000"/>
          <w:sz w:val="18"/>
          <w:szCs w:val="18"/>
          <w:bdr w:val="none" w:sz="0" w:space="0" w:color="auto" w:frame="1"/>
        </w:rPr>
        <w:t xml:space="preserve">, </w:t>
      </w:r>
      <w:proofErr w:type="spellStart"/>
      <w:r w:rsidR="00D50696" w:rsidRPr="00F20A31">
        <w:rPr>
          <w:rStyle w:val="maintitle"/>
          <w:rFonts w:ascii="Arial" w:hAnsi="Arial" w:cs="Arial"/>
          <w:b w:val="0"/>
          <w:color w:val="000000"/>
          <w:sz w:val="18"/>
          <w:szCs w:val="18"/>
          <w:bdr w:val="none" w:sz="0" w:space="0" w:color="auto" w:frame="1"/>
        </w:rPr>
        <w:t>Nandini</w:t>
      </w:r>
      <w:proofErr w:type="spellEnd"/>
      <w:r w:rsidR="00D50696" w:rsidRPr="00F20A31">
        <w:rPr>
          <w:rStyle w:val="maintitle"/>
          <w:rFonts w:ascii="Arial" w:hAnsi="Arial" w:cs="Arial"/>
          <w:b w:val="0"/>
          <w:color w:val="000000"/>
          <w:sz w:val="18"/>
          <w:szCs w:val="18"/>
          <w:bdr w:val="none" w:sz="0" w:space="0" w:color="auto" w:frame="1"/>
        </w:rPr>
        <w:t xml:space="preserve">, and Bricker, Robert, “Incentives, Discretion, and Asset Valuation in Closed–End Mutual Funds,” </w:t>
      </w:r>
      <w:r w:rsidR="00D50696" w:rsidRPr="00F20A31">
        <w:rPr>
          <w:rFonts w:ascii="Arial" w:hAnsi="Arial" w:cs="Arial"/>
          <w:b w:val="0"/>
          <w:i/>
          <w:color w:val="5D5D5D"/>
          <w:sz w:val="18"/>
          <w:szCs w:val="18"/>
        </w:rPr>
        <w:t>Journal of Accounting Research</w:t>
      </w:r>
      <w:r w:rsidR="00D50696" w:rsidRPr="00F20A31">
        <w:rPr>
          <w:rFonts w:ascii="Arial" w:hAnsi="Arial" w:cs="Arial"/>
          <w:color w:val="A3A2A2"/>
          <w:sz w:val="18"/>
          <w:szCs w:val="18"/>
        </w:rPr>
        <w:t>,</w:t>
      </w:r>
      <w:r w:rsidR="00D50696" w:rsidRPr="00F20A31">
        <w:rPr>
          <w:rStyle w:val="apple-converted-space"/>
          <w:rFonts w:ascii="Arial" w:hAnsi="Arial" w:cs="Arial"/>
          <w:color w:val="A3A2A2"/>
          <w:sz w:val="18"/>
          <w:szCs w:val="18"/>
        </w:rPr>
        <w:t xml:space="preserve"> </w:t>
      </w:r>
      <w:r w:rsidR="00D50696" w:rsidRPr="006511E5">
        <w:rPr>
          <w:rFonts w:ascii="Arial" w:hAnsi="Arial" w:cs="Arial"/>
          <w:b w:val="0"/>
          <w:bCs w:val="0"/>
          <w:sz w:val="18"/>
          <w:szCs w:val="18"/>
          <w:bdr w:val="none" w:sz="0" w:space="0" w:color="auto" w:frame="1"/>
        </w:rPr>
        <w:t>pp. 1037–1070</w:t>
      </w:r>
      <w:r w:rsidR="00D50696" w:rsidRPr="00F20A31">
        <w:rPr>
          <w:rFonts w:ascii="Arial" w:hAnsi="Arial" w:cs="Arial"/>
          <w:b w:val="0"/>
          <w:bCs w:val="0"/>
          <w:color w:val="007E8B"/>
          <w:sz w:val="18"/>
          <w:szCs w:val="18"/>
          <w:bdr w:val="none" w:sz="0" w:space="0" w:color="auto" w:frame="1"/>
        </w:rPr>
        <w:t>.</w:t>
      </w:r>
    </w:p>
    <w:p w:rsidR="006511E5" w:rsidRDefault="006511E5" w:rsidP="006511E5">
      <w:pPr>
        <w:pStyle w:val="Heading2"/>
        <w:spacing w:before="0" w:after="120" w:line="240" w:lineRule="auto"/>
        <w:textAlignment w:val="baseline"/>
        <w:rPr>
          <w:rFonts w:ascii="Arial" w:hAnsi="Arial" w:cs="Arial"/>
          <w:b w:val="0"/>
          <w:color w:val="5D5D5D"/>
          <w:sz w:val="18"/>
          <w:szCs w:val="18"/>
        </w:rPr>
      </w:pPr>
    </w:p>
    <w:p w:rsidR="00EC1ECD" w:rsidRPr="00EC1ECD" w:rsidRDefault="00F4780E" w:rsidP="006511E5">
      <w:pPr>
        <w:pStyle w:val="Heading2"/>
        <w:spacing w:before="0" w:after="120" w:line="240" w:lineRule="auto"/>
        <w:textAlignment w:val="baseline"/>
        <w:rPr>
          <w:rFonts w:ascii="Arial" w:eastAsia="Arial Unicode MS" w:hAnsi="Arial" w:cs="Arial"/>
          <w:b w:val="0"/>
          <w:i/>
          <w:color w:val="2E2E2E"/>
          <w:sz w:val="18"/>
          <w:szCs w:val="18"/>
        </w:rPr>
      </w:pPr>
      <w:r>
        <w:rPr>
          <w:rFonts w:ascii="Arial" w:hAnsi="Arial" w:cs="Arial"/>
          <w:b w:val="0"/>
          <w:color w:val="5D5D5D"/>
          <w:sz w:val="18"/>
          <w:szCs w:val="18"/>
        </w:rPr>
        <w:t xml:space="preserve">[3] </w:t>
      </w:r>
      <w:proofErr w:type="spellStart"/>
      <w:r w:rsidR="00EC1ECD" w:rsidRPr="00F20A31">
        <w:rPr>
          <w:rFonts w:ascii="Arial" w:hAnsi="Arial" w:cs="Arial"/>
          <w:b w:val="0"/>
          <w:color w:val="5D5D5D"/>
          <w:sz w:val="18"/>
          <w:szCs w:val="18"/>
        </w:rPr>
        <w:t>Chay</w:t>
      </w:r>
      <w:proofErr w:type="spellEnd"/>
      <w:r w:rsidR="00EC1ECD" w:rsidRPr="00F20A31">
        <w:rPr>
          <w:rFonts w:ascii="Arial" w:hAnsi="Arial" w:cs="Arial"/>
          <w:b w:val="0"/>
          <w:color w:val="5D5D5D"/>
          <w:sz w:val="18"/>
          <w:szCs w:val="18"/>
        </w:rPr>
        <w:t xml:space="preserve">, J. B., and </w:t>
      </w:r>
      <w:proofErr w:type="spellStart"/>
      <w:r w:rsidR="00EC1ECD" w:rsidRPr="00F20A31">
        <w:rPr>
          <w:rFonts w:ascii="Arial" w:hAnsi="Arial" w:cs="Arial"/>
          <w:b w:val="0"/>
          <w:color w:val="5D5D5D"/>
          <w:sz w:val="18"/>
          <w:szCs w:val="18"/>
        </w:rPr>
        <w:t>Trzcinka</w:t>
      </w:r>
      <w:proofErr w:type="spellEnd"/>
      <w:r w:rsidR="00EC1ECD" w:rsidRPr="00F20A31">
        <w:rPr>
          <w:rFonts w:ascii="Arial" w:hAnsi="Arial" w:cs="Arial"/>
          <w:b w:val="0"/>
          <w:color w:val="5D5D5D"/>
          <w:sz w:val="18"/>
          <w:szCs w:val="18"/>
        </w:rPr>
        <w:t>, Charles A., “</w:t>
      </w:r>
      <w:r w:rsidR="00EC1ECD" w:rsidRPr="00F20A31">
        <w:rPr>
          <w:rFonts w:ascii="Arial" w:eastAsia="Arial Unicode MS" w:hAnsi="Arial" w:cs="Arial"/>
          <w:b w:val="0"/>
          <w:color w:val="5C5C5C"/>
          <w:kern w:val="36"/>
          <w:sz w:val="18"/>
          <w:szCs w:val="18"/>
        </w:rPr>
        <w:t>Managerial Performance and the Cross-Sectional Pricing of Closed-End F</w:t>
      </w:r>
      <w:r w:rsidR="00EC1ECD" w:rsidRPr="00EC1ECD">
        <w:rPr>
          <w:rFonts w:ascii="Arial" w:eastAsia="Arial Unicode MS" w:hAnsi="Arial" w:cs="Arial"/>
          <w:b w:val="0"/>
          <w:color w:val="5C5C5C"/>
          <w:kern w:val="36"/>
          <w:sz w:val="18"/>
          <w:szCs w:val="18"/>
        </w:rPr>
        <w:t>unds</w:t>
      </w:r>
      <w:r w:rsidR="00EC1ECD" w:rsidRPr="00F20A31">
        <w:rPr>
          <w:rFonts w:ascii="Arial" w:eastAsia="Arial Unicode MS" w:hAnsi="Arial" w:cs="Arial"/>
          <w:b w:val="0"/>
          <w:color w:val="5C5C5C"/>
          <w:kern w:val="36"/>
          <w:sz w:val="18"/>
          <w:szCs w:val="18"/>
        </w:rPr>
        <w:t xml:space="preserve">,” </w:t>
      </w:r>
      <w:hyperlink r:id="rId12" w:tooltip="Go to Journal of Financial Economics on SciVerse ScienceDirect" w:history="1">
        <w:r w:rsidR="00EC1ECD" w:rsidRPr="00F20A31">
          <w:rPr>
            <w:rFonts w:ascii="Arial" w:eastAsia="Arial Unicode MS" w:hAnsi="Arial" w:cs="Arial"/>
            <w:b w:val="0"/>
            <w:i/>
            <w:color w:val="2E2E2E"/>
            <w:sz w:val="18"/>
            <w:szCs w:val="18"/>
          </w:rPr>
          <w:t>Journal of Financial Economics</w:t>
        </w:r>
      </w:hyperlink>
      <w:r w:rsidR="00EC1ECD" w:rsidRPr="00F20A31">
        <w:rPr>
          <w:rFonts w:ascii="Arial" w:eastAsia="Arial Unicode MS" w:hAnsi="Arial" w:cs="Arial"/>
          <w:b w:val="0"/>
          <w:color w:val="316C9D"/>
          <w:sz w:val="18"/>
          <w:szCs w:val="18"/>
        </w:rPr>
        <w:t xml:space="preserve">, </w:t>
      </w:r>
      <w:r w:rsidR="00EC1ECD" w:rsidRPr="00F20A31">
        <w:rPr>
          <w:rFonts w:ascii="Arial" w:eastAsia="Arial Unicode MS" w:hAnsi="Arial" w:cs="Arial"/>
          <w:b w:val="0"/>
          <w:color w:val="2E2E2E"/>
          <w:sz w:val="18"/>
          <w:szCs w:val="18"/>
        </w:rPr>
        <w:t>1999, pp.</w:t>
      </w:r>
      <w:r w:rsidR="00EC1ECD" w:rsidRPr="00EC1ECD">
        <w:rPr>
          <w:rFonts w:ascii="Arial" w:eastAsia="Arial Unicode MS" w:hAnsi="Arial" w:cs="Arial"/>
          <w:b w:val="0"/>
          <w:color w:val="2E2E2E"/>
          <w:sz w:val="18"/>
          <w:szCs w:val="18"/>
        </w:rPr>
        <w:t xml:space="preserve"> 379–408</w:t>
      </w:r>
      <w:r w:rsidR="00EC1ECD" w:rsidRPr="00F20A31">
        <w:rPr>
          <w:rFonts w:ascii="Arial" w:eastAsia="Arial Unicode MS" w:hAnsi="Arial" w:cs="Arial"/>
          <w:b w:val="0"/>
          <w:color w:val="2E2E2E"/>
          <w:sz w:val="18"/>
          <w:szCs w:val="18"/>
        </w:rPr>
        <w:t>.</w:t>
      </w:r>
      <w:r w:rsidR="00F20A31" w:rsidRPr="00F20A31">
        <w:rPr>
          <w:rFonts w:ascii="Arial" w:eastAsia="Arial Unicode MS" w:hAnsi="Arial" w:cs="Arial"/>
          <w:color w:val="2E2E2E"/>
          <w:sz w:val="14"/>
          <w:szCs w:val="14"/>
          <w:shd w:val="clear" w:color="auto" w:fill="FFFFFF"/>
        </w:rPr>
        <w:t xml:space="preserve"> </w:t>
      </w:r>
      <w:r w:rsidR="00F20A31" w:rsidRPr="00F20A31">
        <w:rPr>
          <w:rFonts w:ascii="Arial" w:eastAsia="Arial Unicode MS" w:hAnsi="Arial" w:cs="Arial"/>
          <w:b w:val="0"/>
          <w:i/>
          <w:color w:val="2E2E2E"/>
          <w:sz w:val="18"/>
          <w:szCs w:val="18"/>
          <w:shd w:val="clear" w:color="auto" w:fill="FFFFFF"/>
        </w:rPr>
        <w:t>(</w:t>
      </w:r>
      <w:r w:rsidR="00430C13">
        <w:rPr>
          <w:rFonts w:ascii="Arial" w:eastAsia="Arial Unicode MS" w:hAnsi="Arial" w:cs="Arial"/>
          <w:b w:val="0"/>
          <w:i/>
          <w:color w:val="2E2E2E"/>
          <w:sz w:val="18"/>
          <w:szCs w:val="18"/>
          <w:shd w:val="clear" w:color="auto" w:fill="FFFFFF"/>
        </w:rPr>
        <w:t>The authors argue that d</w:t>
      </w:r>
      <w:r w:rsidR="00F20A31" w:rsidRPr="00F20A31">
        <w:rPr>
          <w:rFonts w:ascii="Arial" w:eastAsia="Arial Unicode MS" w:hAnsi="Arial" w:cs="Arial"/>
          <w:b w:val="0"/>
          <w:i/>
          <w:color w:val="2E2E2E"/>
          <w:sz w:val="18"/>
          <w:szCs w:val="18"/>
          <w:shd w:val="clear" w:color="auto" w:fill="FFFFFF"/>
        </w:rPr>
        <w:t>iscounts and premiums of closed-end funds reflect the market's assessment of anticipated managerial performance.)</w:t>
      </w:r>
    </w:p>
    <w:p w:rsidR="00C432C9" w:rsidRPr="00C432C9" w:rsidRDefault="00F4780E" w:rsidP="006511E5">
      <w:pPr>
        <w:spacing w:line="240" w:lineRule="auto"/>
        <w:ind w:right="52"/>
        <w:textAlignment w:val="baseline"/>
        <w:rPr>
          <w:rFonts w:ascii="Arial" w:hAnsi="Arial" w:cs="Arial"/>
          <w:color w:val="A3A2A2"/>
          <w:sz w:val="18"/>
          <w:szCs w:val="18"/>
        </w:rPr>
      </w:pPr>
      <w:r>
        <w:rPr>
          <w:rFonts w:ascii="Arial" w:hAnsi="Arial" w:cs="Arial"/>
          <w:color w:val="000000"/>
          <w:sz w:val="18"/>
          <w:szCs w:val="18"/>
        </w:rPr>
        <w:t xml:space="preserve">[4] </w:t>
      </w:r>
      <w:proofErr w:type="spellStart"/>
      <w:r w:rsidR="00C432C9" w:rsidRPr="00C432C9">
        <w:rPr>
          <w:rFonts w:ascii="Arial" w:hAnsi="Arial" w:cs="Arial"/>
          <w:color w:val="000000"/>
          <w:sz w:val="18"/>
          <w:szCs w:val="18"/>
        </w:rPr>
        <w:t>Dimson</w:t>
      </w:r>
      <w:proofErr w:type="spellEnd"/>
      <w:r w:rsidR="00C432C9" w:rsidRPr="00C432C9">
        <w:rPr>
          <w:rFonts w:ascii="Arial" w:hAnsi="Arial" w:cs="Arial"/>
          <w:color w:val="000000"/>
          <w:sz w:val="18"/>
          <w:szCs w:val="18"/>
        </w:rPr>
        <w:t xml:space="preserve">, Elroy, </w:t>
      </w:r>
      <w:proofErr w:type="gramStart"/>
      <w:r w:rsidR="00C432C9" w:rsidRPr="00C432C9">
        <w:rPr>
          <w:rFonts w:ascii="Arial" w:hAnsi="Arial" w:cs="Arial"/>
          <w:color w:val="000000"/>
          <w:sz w:val="18"/>
          <w:szCs w:val="18"/>
        </w:rPr>
        <w:t xml:space="preserve">and </w:t>
      </w:r>
      <w:r w:rsidR="00C432C9" w:rsidRPr="00C432C9">
        <w:rPr>
          <w:rStyle w:val="apple-converted-space"/>
          <w:rFonts w:ascii="Arial" w:hAnsi="Arial" w:cs="Arial"/>
          <w:color w:val="000000"/>
          <w:sz w:val="18"/>
          <w:szCs w:val="18"/>
        </w:rPr>
        <w:t> </w:t>
      </w:r>
      <w:proofErr w:type="spellStart"/>
      <w:r w:rsidR="00C432C9" w:rsidRPr="00C432C9">
        <w:rPr>
          <w:rFonts w:ascii="Arial" w:hAnsi="Arial" w:cs="Arial"/>
          <w:color w:val="000000"/>
          <w:sz w:val="18"/>
          <w:szCs w:val="18"/>
        </w:rPr>
        <w:t>Minio</w:t>
      </w:r>
      <w:proofErr w:type="gramEnd"/>
      <w:r w:rsidR="00C432C9" w:rsidRPr="00C432C9">
        <w:rPr>
          <w:rFonts w:ascii="Arial" w:hAnsi="Arial" w:cs="Arial"/>
          <w:color w:val="000000"/>
          <w:sz w:val="18"/>
          <w:szCs w:val="18"/>
        </w:rPr>
        <w:t>-Kozerski</w:t>
      </w:r>
      <w:proofErr w:type="spellEnd"/>
      <w:r w:rsidR="00C432C9" w:rsidRPr="00C432C9">
        <w:rPr>
          <w:rFonts w:ascii="Arial" w:hAnsi="Arial" w:cs="Arial"/>
          <w:color w:val="000000"/>
          <w:sz w:val="18"/>
          <w:szCs w:val="18"/>
        </w:rPr>
        <w:t>, Carolina, “</w:t>
      </w:r>
      <w:r w:rsidR="00C432C9" w:rsidRPr="00C432C9">
        <w:rPr>
          <w:rFonts w:ascii="Arial" w:hAnsi="Arial" w:cs="Arial"/>
          <w:bCs/>
          <w:color w:val="000000"/>
          <w:sz w:val="18"/>
          <w:szCs w:val="18"/>
          <w:shd w:val="clear" w:color="auto" w:fill="FFFFFF"/>
        </w:rPr>
        <w:t xml:space="preserve">Closed-End Funds: A Survey” </w:t>
      </w:r>
      <w:r w:rsidR="00C432C9" w:rsidRPr="00C432C9">
        <w:rPr>
          <w:rFonts w:ascii="Arial" w:hAnsi="Arial" w:cs="Arial"/>
          <w:i/>
          <w:color w:val="5D5D5D"/>
          <w:sz w:val="18"/>
          <w:szCs w:val="18"/>
        </w:rPr>
        <w:t>Financial Markets, Institutions &amp; Instrument</w:t>
      </w:r>
      <w:r w:rsidR="005D1154">
        <w:rPr>
          <w:rFonts w:ascii="Arial" w:hAnsi="Arial" w:cs="Arial"/>
          <w:i/>
          <w:color w:val="5D5D5D"/>
          <w:sz w:val="18"/>
          <w:szCs w:val="18"/>
        </w:rPr>
        <w:t>s,</w:t>
      </w:r>
      <w:r w:rsidR="005D1154">
        <w:rPr>
          <w:rFonts w:ascii="Arial" w:hAnsi="Arial" w:cs="Arial"/>
          <w:b/>
          <w:bCs/>
          <w:color w:val="007E8B"/>
          <w:sz w:val="18"/>
          <w:szCs w:val="18"/>
          <w:bdr w:val="none" w:sz="0" w:space="0" w:color="auto" w:frame="1"/>
        </w:rPr>
        <w:t xml:space="preserve"> </w:t>
      </w:r>
      <w:r w:rsidR="00C432C9" w:rsidRPr="006511E5">
        <w:rPr>
          <w:rFonts w:ascii="Arial" w:hAnsi="Arial" w:cs="Arial"/>
          <w:bCs/>
          <w:sz w:val="18"/>
          <w:szCs w:val="18"/>
          <w:bdr w:val="none" w:sz="0" w:space="0" w:color="auto" w:frame="1"/>
        </w:rPr>
        <w:t>May 1999, pp. 1–41</w:t>
      </w:r>
      <w:r w:rsidR="00C432C9">
        <w:rPr>
          <w:rFonts w:ascii="Arial" w:hAnsi="Arial" w:cs="Arial"/>
          <w:color w:val="A3A2A2"/>
          <w:sz w:val="18"/>
          <w:szCs w:val="18"/>
        </w:rPr>
        <w:t>.</w:t>
      </w:r>
      <w:r w:rsidR="00C432C9" w:rsidRPr="00C432C9">
        <w:rPr>
          <w:rStyle w:val="apple-converted-space"/>
          <w:rFonts w:ascii="Arial" w:hAnsi="Arial" w:cs="Arial"/>
          <w:color w:val="A3A2A2"/>
          <w:sz w:val="18"/>
          <w:szCs w:val="18"/>
        </w:rPr>
        <w:t> </w:t>
      </w:r>
    </w:p>
    <w:p w:rsidR="00D50696" w:rsidRPr="00F20A31" w:rsidRDefault="00D50696" w:rsidP="006511E5">
      <w:pPr>
        <w:pStyle w:val="Heading1"/>
        <w:spacing w:before="0" w:beforeAutospacing="0" w:after="0" w:afterAutospacing="0"/>
        <w:ind w:right="480"/>
        <w:textAlignment w:val="baseline"/>
        <w:rPr>
          <w:rFonts w:ascii="Arial" w:hAnsi="Arial" w:cs="Arial"/>
          <w:b w:val="0"/>
          <w:bCs w:val="0"/>
          <w:sz w:val="18"/>
          <w:szCs w:val="18"/>
        </w:rPr>
      </w:pPr>
    </w:p>
    <w:p w:rsidR="00D50696" w:rsidRPr="00F20A31" w:rsidRDefault="00F4780E" w:rsidP="006511E5">
      <w:pPr>
        <w:pStyle w:val="Heading1"/>
        <w:spacing w:before="0" w:beforeAutospacing="0" w:after="0" w:afterAutospacing="0"/>
        <w:ind w:right="480"/>
        <w:textAlignment w:val="baseline"/>
        <w:rPr>
          <w:rFonts w:ascii="Arial" w:hAnsi="Arial" w:cs="Arial"/>
          <w:b w:val="0"/>
          <w:bCs w:val="0"/>
          <w:color w:val="007E8B"/>
          <w:sz w:val="18"/>
          <w:szCs w:val="18"/>
          <w:bdr w:val="none" w:sz="0" w:space="0" w:color="auto" w:frame="1"/>
        </w:rPr>
      </w:pPr>
      <w:r>
        <w:rPr>
          <w:rFonts w:ascii="Arial" w:hAnsi="Arial" w:cs="Arial"/>
          <w:b w:val="0"/>
          <w:bCs w:val="0"/>
          <w:sz w:val="18"/>
          <w:szCs w:val="18"/>
        </w:rPr>
        <w:t xml:space="preserve">[5] </w:t>
      </w:r>
      <w:r w:rsidR="00D50696" w:rsidRPr="00F20A31">
        <w:rPr>
          <w:rFonts w:ascii="Arial" w:hAnsi="Arial" w:cs="Arial"/>
          <w:b w:val="0"/>
          <w:bCs w:val="0"/>
          <w:sz w:val="18"/>
          <w:szCs w:val="18"/>
        </w:rPr>
        <w:t>Kim, C. S., “</w:t>
      </w:r>
      <w:hyperlink r:id="rId13" w:history="1">
        <w:r w:rsidR="00D50696" w:rsidRPr="00F20A31">
          <w:rPr>
            <w:rStyle w:val="Hyperlink"/>
            <w:rFonts w:ascii="Arial" w:hAnsi="Arial" w:cs="Arial"/>
            <w:b w:val="0"/>
            <w:bCs w:val="0"/>
            <w:color w:val="auto"/>
            <w:sz w:val="18"/>
            <w:szCs w:val="18"/>
            <w:u w:val="none"/>
          </w:rPr>
          <w:t>Investor Tax-Trading Opportunities and Discounts on</w:t>
        </w:r>
        <w:r w:rsidR="00D50696" w:rsidRPr="00F20A31">
          <w:rPr>
            <w:rStyle w:val="apple-converted-space"/>
            <w:rFonts w:ascii="Arial" w:hAnsi="Arial" w:cs="Arial"/>
            <w:b w:val="0"/>
            <w:bCs w:val="0"/>
            <w:sz w:val="18"/>
            <w:szCs w:val="18"/>
          </w:rPr>
          <w:t> </w:t>
        </w:r>
        <w:r w:rsidR="00D50696" w:rsidRPr="00F20A31">
          <w:rPr>
            <w:rStyle w:val="Hyperlink"/>
            <w:rFonts w:ascii="Arial" w:hAnsi="Arial" w:cs="Arial"/>
            <w:b w:val="0"/>
            <w:color w:val="auto"/>
            <w:sz w:val="18"/>
            <w:szCs w:val="18"/>
            <w:u w:val="none"/>
          </w:rPr>
          <w:t>Closed</w:t>
        </w:r>
        <w:r w:rsidR="00D50696" w:rsidRPr="00F20A31">
          <w:rPr>
            <w:rStyle w:val="Hyperlink"/>
            <w:rFonts w:ascii="Arial" w:hAnsi="Arial" w:cs="Arial"/>
            <w:b w:val="0"/>
            <w:bCs w:val="0"/>
            <w:color w:val="auto"/>
            <w:sz w:val="18"/>
            <w:szCs w:val="18"/>
            <w:u w:val="none"/>
          </w:rPr>
          <w:t>-</w:t>
        </w:r>
        <w:r w:rsidR="00D50696" w:rsidRPr="00F20A31">
          <w:rPr>
            <w:rStyle w:val="Hyperlink"/>
            <w:rFonts w:ascii="Arial" w:hAnsi="Arial" w:cs="Arial"/>
            <w:b w:val="0"/>
            <w:color w:val="auto"/>
            <w:sz w:val="18"/>
            <w:szCs w:val="18"/>
            <w:u w:val="none"/>
          </w:rPr>
          <w:t>end Mutual funds</w:t>
        </w:r>
      </w:hyperlink>
      <w:r w:rsidR="00D50696" w:rsidRPr="00F20A31">
        <w:rPr>
          <w:rFonts w:ascii="Arial" w:hAnsi="Arial" w:cs="Arial"/>
          <w:b w:val="0"/>
          <w:bCs w:val="0"/>
          <w:sz w:val="18"/>
          <w:szCs w:val="18"/>
        </w:rPr>
        <w:t xml:space="preserve">,” </w:t>
      </w:r>
      <w:r w:rsidR="00D50696" w:rsidRPr="00F20A31">
        <w:rPr>
          <w:rFonts w:ascii="Arial" w:hAnsi="Arial" w:cs="Arial"/>
          <w:b w:val="0"/>
          <w:i/>
          <w:sz w:val="18"/>
          <w:szCs w:val="18"/>
        </w:rPr>
        <w:t>Journal of Financial Research</w:t>
      </w:r>
      <w:r w:rsidR="00D50696" w:rsidRPr="00F20A31">
        <w:rPr>
          <w:rFonts w:ascii="Arial" w:hAnsi="Arial" w:cs="Arial"/>
          <w:b w:val="0"/>
          <w:sz w:val="18"/>
          <w:szCs w:val="18"/>
        </w:rPr>
        <w:t>, 2004.</w:t>
      </w:r>
    </w:p>
    <w:p w:rsidR="00BB574C" w:rsidRPr="00F20A31" w:rsidRDefault="00BB574C" w:rsidP="006511E5">
      <w:pPr>
        <w:spacing w:line="240" w:lineRule="auto"/>
        <w:ind w:right="480"/>
        <w:textAlignment w:val="baseline"/>
        <w:outlineLvl w:val="0"/>
        <w:rPr>
          <w:rFonts w:ascii="Arial" w:eastAsia="Times New Roman" w:hAnsi="Arial" w:cs="Arial"/>
          <w:bCs/>
          <w:color w:val="000000"/>
          <w:kern w:val="36"/>
          <w:sz w:val="18"/>
          <w:szCs w:val="18"/>
        </w:rPr>
      </w:pPr>
    </w:p>
    <w:p w:rsidR="00BB574C" w:rsidRPr="00F20A31" w:rsidRDefault="00F4780E" w:rsidP="006511E5">
      <w:pPr>
        <w:spacing w:line="240" w:lineRule="auto"/>
        <w:ind w:right="480"/>
        <w:textAlignment w:val="baseline"/>
        <w:outlineLvl w:val="0"/>
        <w:rPr>
          <w:rFonts w:ascii="Arial" w:eastAsia="Times New Roman" w:hAnsi="Arial" w:cs="Arial"/>
          <w:bCs/>
          <w:color w:val="000000"/>
          <w:kern w:val="36"/>
          <w:sz w:val="18"/>
          <w:szCs w:val="18"/>
        </w:rPr>
      </w:pPr>
      <w:r>
        <w:rPr>
          <w:rFonts w:ascii="Arial" w:eastAsia="Times New Roman" w:hAnsi="Arial" w:cs="Arial"/>
          <w:bCs/>
          <w:color w:val="000000"/>
          <w:kern w:val="36"/>
          <w:sz w:val="18"/>
          <w:szCs w:val="18"/>
        </w:rPr>
        <w:t>[6]</w:t>
      </w:r>
      <w:r w:rsidR="00BB574C" w:rsidRPr="00F20A31">
        <w:rPr>
          <w:rFonts w:ascii="Arial" w:eastAsia="Times New Roman" w:hAnsi="Arial" w:cs="Arial"/>
          <w:bCs/>
          <w:color w:val="000000"/>
          <w:kern w:val="36"/>
          <w:sz w:val="18"/>
          <w:szCs w:val="18"/>
        </w:rPr>
        <w:t xml:space="preserve">Lee, Charles M. C., </w:t>
      </w:r>
      <w:proofErr w:type="spellStart"/>
      <w:r w:rsidR="00BB574C" w:rsidRPr="00F20A31">
        <w:rPr>
          <w:rFonts w:ascii="Arial" w:eastAsia="Times New Roman" w:hAnsi="Arial" w:cs="Arial"/>
          <w:bCs/>
          <w:color w:val="000000"/>
          <w:kern w:val="36"/>
          <w:sz w:val="18"/>
          <w:szCs w:val="18"/>
        </w:rPr>
        <w:t>Schlifer</w:t>
      </w:r>
      <w:proofErr w:type="spellEnd"/>
      <w:r w:rsidR="00BB574C" w:rsidRPr="00F20A31">
        <w:rPr>
          <w:rFonts w:ascii="Arial" w:eastAsia="Times New Roman" w:hAnsi="Arial" w:cs="Arial"/>
          <w:bCs/>
          <w:color w:val="000000"/>
          <w:kern w:val="36"/>
          <w:sz w:val="18"/>
          <w:szCs w:val="18"/>
        </w:rPr>
        <w:t xml:space="preserve">, Andrei, and </w:t>
      </w:r>
      <w:proofErr w:type="spellStart"/>
      <w:r w:rsidR="00BB574C" w:rsidRPr="00F20A31">
        <w:rPr>
          <w:rFonts w:ascii="Arial" w:eastAsia="Times New Roman" w:hAnsi="Arial" w:cs="Arial"/>
          <w:bCs/>
          <w:color w:val="000000"/>
          <w:kern w:val="36"/>
          <w:sz w:val="18"/>
          <w:szCs w:val="18"/>
        </w:rPr>
        <w:t>Thaler</w:t>
      </w:r>
      <w:proofErr w:type="spellEnd"/>
      <w:r w:rsidR="00BB574C" w:rsidRPr="00F20A31">
        <w:rPr>
          <w:rFonts w:ascii="Arial" w:eastAsia="Times New Roman" w:hAnsi="Arial" w:cs="Arial"/>
          <w:bCs/>
          <w:color w:val="000000"/>
          <w:kern w:val="36"/>
          <w:sz w:val="18"/>
          <w:szCs w:val="18"/>
        </w:rPr>
        <w:t xml:space="preserve">, Richard H., “Anomalies: Closed-End Mutual Funds”, </w:t>
      </w:r>
      <w:r w:rsidR="00BB574C" w:rsidRPr="00F20A31">
        <w:rPr>
          <w:rFonts w:ascii="Arial" w:eastAsia="Times New Roman" w:hAnsi="Arial" w:cs="Arial"/>
          <w:bCs/>
          <w:i/>
          <w:color w:val="000000"/>
          <w:kern w:val="36"/>
          <w:sz w:val="18"/>
          <w:szCs w:val="18"/>
        </w:rPr>
        <w:t>Journal of Economic Perspectives</w:t>
      </w:r>
      <w:r w:rsidR="00BB574C" w:rsidRPr="00F20A31">
        <w:rPr>
          <w:rFonts w:ascii="Arial" w:eastAsia="Times New Roman" w:hAnsi="Arial" w:cs="Arial"/>
          <w:bCs/>
          <w:color w:val="000000"/>
          <w:kern w:val="36"/>
          <w:sz w:val="18"/>
          <w:szCs w:val="18"/>
        </w:rPr>
        <w:t xml:space="preserve">, </w:t>
      </w:r>
      <w:proofErr w:type="gramStart"/>
      <w:r w:rsidR="00BB574C" w:rsidRPr="00F20A31">
        <w:rPr>
          <w:rFonts w:ascii="Arial" w:eastAsia="Times New Roman" w:hAnsi="Arial" w:cs="Arial"/>
          <w:bCs/>
          <w:color w:val="000000"/>
          <w:kern w:val="36"/>
          <w:sz w:val="18"/>
          <w:szCs w:val="18"/>
        </w:rPr>
        <w:t>Fall</w:t>
      </w:r>
      <w:proofErr w:type="gramEnd"/>
      <w:r w:rsidR="00BB574C" w:rsidRPr="00F20A31">
        <w:rPr>
          <w:rFonts w:ascii="Arial" w:eastAsia="Times New Roman" w:hAnsi="Arial" w:cs="Arial"/>
          <w:bCs/>
          <w:color w:val="000000"/>
          <w:kern w:val="36"/>
          <w:sz w:val="18"/>
          <w:szCs w:val="18"/>
        </w:rPr>
        <w:t xml:space="preserve"> 1990, pp. </w:t>
      </w:r>
      <w:r w:rsidR="00461BF5" w:rsidRPr="00F20A31">
        <w:rPr>
          <w:rFonts w:ascii="Arial" w:eastAsia="Times New Roman" w:hAnsi="Arial" w:cs="Arial"/>
          <w:bCs/>
          <w:color w:val="000000"/>
          <w:kern w:val="36"/>
          <w:sz w:val="18"/>
          <w:szCs w:val="18"/>
        </w:rPr>
        <w:t>153-164.</w:t>
      </w:r>
    </w:p>
    <w:p w:rsidR="006F5105" w:rsidRPr="00656EDF" w:rsidRDefault="00461BF5" w:rsidP="006511E5">
      <w:pPr>
        <w:pStyle w:val="Heading3"/>
        <w:shd w:val="clear" w:color="auto" w:fill="FFFFFF"/>
        <w:spacing w:before="0" w:line="240" w:lineRule="auto"/>
        <w:rPr>
          <w:rFonts w:ascii="Arial" w:hAnsi="Arial" w:cs="Arial"/>
          <w:b w:val="0"/>
          <w:i/>
          <w:color w:val="auto"/>
          <w:sz w:val="18"/>
          <w:szCs w:val="18"/>
        </w:rPr>
      </w:pPr>
      <w:r w:rsidRPr="00F20A31">
        <w:rPr>
          <w:rStyle w:val="apple-converted-space"/>
          <w:rFonts w:ascii="Arial" w:hAnsi="Arial" w:cs="Arial"/>
          <w:color w:val="auto"/>
          <w:sz w:val="18"/>
          <w:szCs w:val="18"/>
        </w:rPr>
        <w:t> </w:t>
      </w:r>
      <w:hyperlink r:id="rId14" w:history="1">
        <w:r w:rsidR="00175CAB" w:rsidRPr="00F20A31">
          <w:rPr>
            <w:rFonts w:ascii="Arial" w:hAnsi="Arial" w:cs="Arial"/>
            <w:b w:val="0"/>
            <w:bCs w:val="0"/>
            <w:color w:val="auto"/>
            <w:sz w:val="18"/>
            <w:szCs w:val="18"/>
          </w:rPr>
          <w:br/>
        </w:r>
        <w:r w:rsidR="00F4780E">
          <w:rPr>
            <w:rStyle w:val="Hyperlink"/>
            <w:rFonts w:ascii="Arial" w:hAnsi="Arial" w:cs="Arial"/>
            <w:b w:val="0"/>
            <w:bCs w:val="0"/>
            <w:color w:val="auto"/>
            <w:sz w:val="18"/>
            <w:szCs w:val="18"/>
            <w:u w:val="none"/>
          </w:rPr>
          <w:t xml:space="preserve">[7] </w:t>
        </w:r>
        <w:proofErr w:type="spellStart"/>
        <w:r w:rsidR="00175CAB" w:rsidRPr="00F20A31">
          <w:rPr>
            <w:rStyle w:val="Hyperlink"/>
            <w:rFonts w:ascii="Arial" w:hAnsi="Arial" w:cs="Arial"/>
            <w:b w:val="0"/>
            <w:bCs w:val="0"/>
            <w:color w:val="auto"/>
            <w:sz w:val="18"/>
            <w:szCs w:val="18"/>
            <w:u w:val="none"/>
          </w:rPr>
          <w:t>Malkiel</w:t>
        </w:r>
        <w:proofErr w:type="spellEnd"/>
        <w:r w:rsidR="00175CAB" w:rsidRPr="00F20A31">
          <w:rPr>
            <w:rStyle w:val="Hyperlink"/>
            <w:rFonts w:ascii="Arial" w:hAnsi="Arial" w:cs="Arial"/>
            <w:b w:val="0"/>
            <w:bCs w:val="0"/>
            <w:color w:val="auto"/>
            <w:sz w:val="18"/>
            <w:szCs w:val="18"/>
            <w:u w:val="none"/>
          </w:rPr>
          <w:t xml:space="preserve">, Burton G., </w:t>
        </w:r>
        <w:r w:rsidR="006F5105" w:rsidRPr="00F20A31">
          <w:rPr>
            <w:rStyle w:val="Hyperlink"/>
            <w:rFonts w:ascii="Arial" w:hAnsi="Arial" w:cs="Arial"/>
            <w:b w:val="0"/>
            <w:bCs w:val="0"/>
            <w:color w:val="auto"/>
            <w:sz w:val="18"/>
            <w:szCs w:val="18"/>
            <w:u w:val="none"/>
          </w:rPr>
          <w:t xml:space="preserve">“The Valuation of </w:t>
        </w:r>
        <w:r w:rsidR="00175CAB" w:rsidRPr="00F20A31">
          <w:rPr>
            <w:rStyle w:val="Hyperlink"/>
            <w:rFonts w:ascii="Arial" w:hAnsi="Arial" w:cs="Arial"/>
            <w:b w:val="0"/>
            <w:color w:val="auto"/>
            <w:sz w:val="18"/>
            <w:szCs w:val="18"/>
            <w:u w:val="none"/>
          </w:rPr>
          <w:t>C</w:t>
        </w:r>
        <w:r w:rsidR="006F5105" w:rsidRPr="00F20A31">
          <w:rPr>
            <w:rStyle w:val="Hyperlink"/>
            <w:rFonts w:ascii="Arial" w:hAnsi="Arial" w:cs="Arial"/>
            <w:b w:val="0"/>
            <w:color w:val="auto"/>
            <w:sz w:val="18"/>
            <w:szCs w:val="18"/>
            <w:u w:val="none"/>
          </w:rPr>
          <w:t>losed</w:t>
        </w:r>
        <w:r w:rsidR="00175CAB" w:rsidRPr="00F20A31">
          <w:rPr>
            <w:rStyle w:val="Hyperlink"/>
            <w:rFonts w:ascii="Cambria Math" w:hAnsi="Cambria Math" w:cs="Arial"/>
            <w:b w:val="0"/>
            <w:bCs w:val="0"/>
            <w:color w:val="auto"/>
            <w:sz w:val="18"/>
            <w:szCs w:val="18"/>
            <w:u w:val="none"/>
          </w:rPr>
          <w:t>‐</w:t>
        </w:r>
        <w:r w:rsidR="006F5105" w:rsidRPr="00F20A31">
          <w:rPr>
            <w:rStyle w:val="Hyperlink"/>
            <w:rFonts w:ascii="Arial" w:hAnsi="Arial" w:cs="Arial"/>
            <w:b w:val="0"/>
            <w:bCs w:val="0"/>
            <w:color w:val="auto"/>
            <w:sz w:val="18"/>
            <w:szCs w:val="18"/>
            <w:u w:val="none"/>
          </w:rPr>
          <w:t>End</w:t>
        </w:r>
        <w:r w:rsidR="00175CAB" w:rsidRPr="00F20A31">
          <w:rPr>
            <w:rStyle w:val="apple-converted-space"/>
            <w:rFonts w:ascii="Arial" w:hAnsi="Arial" w:cs="Arial"/>
            <w:b w:val="0"/>
            <w:color w:val="auto"/>
            <w:sz w:val="18"/>
            <w:szCs w:val="18"/>
          </w:rPr>
          <w:t> </w:t>
        </w:r>
        <w:r w:rsidR="006F5105" w:rsidRPr="00F20A31">
          <w:rPr>
            <w:rStyle w:val="Hyperlink"/>
            <w:rFonts w:ascii="Arial" w:hAnsi="Arial" w:cs="Arial"/>
            <w:b w:val="0"/>
            <w:bCs w:val="0"/>
            <w:color w:val="auto"/>
            <w:sz w:val="18"/>
            <w:szCs w:val="18"/>
            <w:u w:val="none"/>
          </w:rPr>
          <w:t xml:space="preserve">Investment-Company </w:t>
        </w:r>
        <w:r w:rsidR="00175CAB" w:rsidRPr="00F20A31">
          <w:rPr>
            <w:rStyle w:val="Hyperlink"/>
            <w:rFonts w:ascii="Arial" w:hAnsi="Arial" w:cs="Arial"/>
            <w:b w:val="0"/>
            <w:bCs w:val="0"/>
            <w:color w:val="auto"/>
            <w:sz w:val="18"/>
            <w:szCs w:val="18"/>
            <w:u w:val="none"/>
          </w:rPr>
          <w:t>S</w:t>
        </w:r>
        <w:r w:rsidR="006F5105" w:rsidRPr="00F20A31">
          <w:rPr>
            <w:rStyle w:val="Hyperlink"/>
            <w:rFonts w:ascii="Arial" w:hAnsi="Arial" w:cs="Arial"/>
            <w:b w:val="0"/>
            <w:bCs w:val="0"/>
            <w:color w:val="auto"/>
            <w:sz w:val="18"/>
            <w:szCs w:val="18"/>
            <w:u w:val="none"/>
          </w:rPr>
          <w:t>hares</w:t>
        </w:r>
      </w:hyperlink>
      <w:r w:rsidR="006F5105" w:rsidRPr="00F20A31">
        <w:rPr>
          <w:rFonts w:ascii="Arial" w:hAnsi="Arial" w:cs="Arial"/>
          <w:b w:val="0"/>
          <w:bCs w:val="0"/>
          <w:color w:val="auto"/>
          <w:sz w:val="18"/>
          <w:szCs w:val="18"/>
        </w:rPr>
        <w:t xml:space="preserve">,” </w:t>
      </w:r>
      <w:r w:rsidR="00175CAB" w:rsidRPr="00F20A31">
        <w:rPr>
          <w:rFonts w:ascii="Arial" w:hAnsi="Arial" w:cs="Arial"/>
          <w:b w:val="0"/>
          <w:color w:val="auto"/>
          <w:sz w:val="18"/>
          <w:szCs w:val="18"/>
        </w:rPr>
        <w:t>The Journal of Finance</w:t>
      </w:r>
      <w:r w:rsidR="006F5105" w:rsidRPr="00F20A31">
        <w:rPr>
          <w:rFonts w:ascii="Arial" w:hAnsi="Arial" w:cs="Arial"/>
          <w:b w:val="0"/>
          <w:color w:val="auto"/>
          <w:sz w:val="18"/>
          <w:szCs w:val="18"/>
        </w:rPr>
        <w:t>, June 1977, pp. 847-859.</w:t>
      </w:r>
      <w:r w:rsidR="00656EDF">
        <w:rPr>
          <w:rFonts w:ascii="Arial" w:hAnsi="Arial" w:cs="Arial"/>
          <w:b w:val="0"/>
          <w:color w:val="auto"/>
          <w:sz w:val="18"/>
          <w:szCs w:val="18"/>
        </w:rPr>
        <w:t xml:space="preserve">  (</w:t>
      </w:r>
      <w:r w:rsidR="00656EDF" w:rsidRPr="00656EDF">
        <w:rPr>
          <w:rFonts w:ascii="Arial" w:hAnsi="Arial" w:cs="Arial"/>
          <w:b w:val="0"/>
          <w:i/>
          <w:color w:val="auto"/>
          <w:sz w:val="18"/>
          <w:szCs w:val="18"/>
        </w:rPr>
        <w:t xml:space="preserve">RL - </w:t>
      </w:r>
      <w:proofErr w:type="spellStart"/>
      <w:r w:rsidR="00656EDF" w:rsidRPr="00656EDF">
        <w:rPr>
          <w:rFonts w:ascii="Arial" w:hAnsi="Arial" w:cs="Arial"/>
          <w:b w:val="0"/>
          <w:i/>
          <w:color w:val="auto"/>
          <w:sz w:val="18"/>
          <w:szCs w:val="18"/>
        </w:rPr>
        <w:t>Malkiel</w:t>
      </w:r>
      <w:proofErr w:type="spellEnd"/>
      <w:r w:rsidR="00656EDF" w:rsidRPr="00656EDF">
        <w:rPr>
          <w:rFonts w:ascii="Arial" w:hAnsi="Arial" w:cs="Arial"/>
          <w:b w:val="0"/>
          <w:i/>
          <w:color w:val="auto"/>
          <w:sz w:val="18"/>
          <w:szCs w:val="18"/>
        </w:rPr>
        <w:t xml:space="preserve"> is one of the great minds in finance.  However, this study is dated. </w:t>
      </w:r>
      <w:r w:rsidR="00430C13">
        <w:rPr>
          <w:rFonts w:ascii="Arial" w:hAnsi="Arial" w:cs="Arial"/>
          <w:b w:val="0"/>
          <w:i/>
          <w:color w:val="auto"/>
          <w:sz w:val="18"/>
          <w:szCs w:val="18"/>
        </w:rPr>
        <w:t>D</w:t>
      </w:r>
      <w:r w:rsidR="00656EDF" w:rsidRPr="00656EDF">
        <w:rPr>
          <w:rFonts w:ascii="Arial" w:hAnsi="Arial" w:cs="Arial"/>
          <w:b w:val="0"/>
          <w:i/>
          <w:color w:val="auto"/>
          <w:sz w:val="18"/>
          <w:szCs w:val="18"/>
        </w:rPr>
        <w:t>evelopments that have changed the lands</w:t>
      </w:r>
      <w:r w:rsidR="00430C13">
        <w:rPr>
          <w:rFonts w:ascii="Arial" w:hAnsi="Arial" w:cs="Arial"/>
          <w:b w:val="0"/>
          <w:i/>
          <w:color w:val="auto"/>
          <w:sz w:val="18"/>
          <w:szCs w:val="18"/>
        </w:rPr>
        <w:t>cape of investing since 1977 include</w:t>
      </w:r>
      <w:r w:rsidR="00656EDF" w:rsidRPr="00656EDF">
        <w:rPr>
          <w:rFonts w:ascii="Arial" w:hAnsi="Arial" w:cs="Arial"/>
          <w:b w:val="0"/>
          <w:i/>
          <w:color w:val="auto"/>
          <w:sz w:val="18"/>
          <w:szCs w:val="18"/>
        </w:rPr>
        <w:t xml:space="preserve"> a dramatic d</w:t>
      </w:r>
      <w:r w:rsidR="00430C13">
        <w:rPr>
          <w:rFonts w:ascii="Arial" w:hAnsi="Arial" w:cs="Arial"/>
          <w:b w:val="0"/>
          <w:i/>
          <w:color w:val="auto"/>
          <w:sz w:val="18"/>
          <w:szCs w:val="18"/>
        </w:rPr>
        <w:t>ecline in commission rates and a</w:t>
      </w:r>
      <w:r w:rsidR="00656EDF" w:rsidRPr="00656EDF">
        <w:rPr>
          <w:rFonts w:ascii="Arial" w:hAnsi="Arial" w:cs="Arial"/>
          <w:b w:val="0"/>
          <w:i/>
          <w:color w:val="auto"/>
          <w:sz w:val="18"/>
          <w:szCs w:val="18"/>
        </w:rPr>
        <w:t xml:space="preserve">n increase in the availability of information.) </w:t>
      </w:r>
    </w:p>
    <w:p w:rsidR="006F5105" w:rsidRPr="00F20A31" w:rsidRDefault="006F5105" w:rsidP="006511E5">
      <w:pPr>
        <w:pStyle w:val="Heading3"/>
        <w:shd w:val="clear" w:color="auto" w:fill="FFFFFF"/>
        <w:spacing w:before="0" w:line="240" w:lineRule="auto"/>
        <w:rPr>
          <w:rFonts w:ascii="Arial" w:hAnsi="Arial" w:cs="Arial"/>
          <w:b w:val="0"/>
          <w:color w:val="auto"/>
          <w:sz w:val="18"/>
          <w:szCs w:val="18"/>
        </w:rPr>
      </w:pPr>
    </w:p>
    <w:p w:rsidR="00461BF5" w:rsidRPr="00F20A31" w:rsidRDefault="00F4780E" w:rsidP="006511E5">
      <w:pPr>
        <w:pStyle w:val="Heading3"/>
        <w:shd w:val="clear" w:color="auto" w:fill="FFFFFF"/>
        <w:spacing w:before="0" w:line="240" w:lineRule="auto"/>
        <w:rPr>
          <w:rFonts w:ascii="Arial" w:hAnsi="Arial" w:cs="Arial"/>
          <w:b w:val="0"/>
          <w:bCs w:val="0"/>
          <w:color w:val="auto"/>
          <w:sz w:val="18"/>
          <w:szCs w:val="18"/>
        </w:rPr>
      </w:pPr>
      <w:r>
        <w:rPr>
          <w:rFonts w:ascii="Arial" w:hAnsi="Arial" w:cs="Arial"/>
          <w:b w:val="0"/>
          <w:color w:val="auto"/>
          <w:sz w:val="18"/>
          <w:szCs w:val="18"/>
        </w:rPr>
        <w:t xml:space="preserve">[8] </w:t>
      </w:r>
      <w:r w:rsidR="00461BF5" w:rsidRPr="00F20A31">
        <w:rPr>
          <w:rFonts w:ascii="Arial" w:hAnsi="Arial" w:cs="Arial"/>
          <w:b w:val="0"/>
          <w:color w:val="auto"/>
          <w:sz w:val="18"/>
          <w:szCs w:val="18"/>
        </w:rPr>
        <w:t>Pontiff, J</w:t>
      </w:r>
      <w:r w:rsidR="00CB2447">
        <w:rPr>
          <w:rFonts w:ascii="Arial" w:hAnsi="Arial" w:cs="Arial"/>
          <w:b w:val="0"/>
          <w:color w:val="auto"/>
          <w:sz w:val="18"/>
          <w:szCs w:val="18"/>
        </w:rPr>
        <w:t>effrey</w:t>
      </w:r>
      <w:r w:rsidR="00461BF5" w:rsidRPr="00F20A31">
        <w:rPr>
          <w:rFonts w:ascii="Arial" w:hAnsi="Arial" w:cs="Arial"/>
          <w:b w:val="0"/>
          <w:color w:val="auto"/>
          <w:sz w:val="18"/>
          <w:szCs w:val="18"/>
        </w:rPr>
        <w:t>,</w:t>
      </w:r>
      <w:r w:rsidR="00461BF5" w:rsidRPr="00F20A31">
        <w:rPr>
          <w:rFonts w:ascii="Arial" w:hAnsi="Arial" w:cs="Arial"/>
          <w:color w:val="auto"/>
          <w:sz w:val="18"/>
          <w:szCs w:val="18"/>
        </w:rPr>
        <w:t xml:space="preserve"> </w:t>
      </w:r>
      <w:r w:rsidR="00175CAB" w:rsidRPr="00F20A31">
        <w:rPr>
          <w:rFonts w:ascii="Arial" w:hAnsi="Arial" w:cs="Arial"/>
          <w:color w:val="auto"/>
          <w:sz w:val="18"/>
          <w:szCs w:val="18"/>
        </w:rPr>
        <w:t>“</w:t>
      </w:r>
      <w:hyperlink r:id="rId15" w:history="1">
        <w:r w:rsidR="00461BF5" w:rsidRPr="00F20A31">
          <w:rPr>
            <w:rStyle w:val="Hyperlink"/>
            <w:rFonts w:ascii="Arial" w:hAnsi="Arial" w:cs="Arial"/>
            <w:b w:val="0"/>
            <w:bCs w:val="0"/>
            <w:color w:val="auto"/>
            <w:sz w:val="18"/>
            <w:szCs w:val="18"/>
            <w:u w:val="none"/>
          </w:rPr>
          <w:t>Costly Arbitrage: Evidence from</w:t>
        </w:r>
        <w:r w:rsidR="00461BF5" w:rsidRPr="00F20A31">
          <w:rPr>
            <w:rStyle w:val="apple-converted-space"/>
            <w:rFonts w:ascii="Arial" w:hAnsi="Arial" w:cs="Arial"/>
            <w:b w:val="0"/>
            <w:bCs w:val="0"/>
            <w:color w:val="auto"/>
            <w:sz w:val="18"/>
            <w:szCs w:val="18"/>
          </w:rPr>
          <w:t> </w:t>
        </w:r>
        <w:r w:rsidR="00461BF5" w:rsidRPr="00F20A31">
          <w:rPr>
            <w:rStyle w:val="Hyperlink"/>
            <w:rFonts w:ascii="Arial" w:hAnsi="Arial" w:cs="Arial"/>
            <w:b w:val="0"/>
            <w:color w:val="auto"/>
            <w:sz w:val="18"/>
            <w:szCs w:val="18"/>
            <w:u w:val="none"/>
          </w:rPr>
          <w:t>Closed</w:t>
        </w:r>
        <w:r w:rsidR="00461BF5" w:rsidRPr="00F20A31">
          <w:rPr>
            <w:rStyle w:val="Hyperlink"/>
            <w:rFonts w:ascii="Arial" w:hAnsi="Arial" w:cs="Arial"/>
            <w:b w:val="0"/>
            <w:bCs w:val="0"/>
            <w:color w:val="auto"/>
            <w:sz w:val="18"/>
            <w:szCs w:val="18"/>
            <w:u w:val="none"/>
          </w:rPr>
          <w:t>-</w:t>
        </w:r>
        <w:r w:rsidR="00461BF5" w:rsidRPr="00F20A31">
          <w:rPr>
            <w:rStyle w:val="Hyperlink"/>
            <w:rFonts w:ascii="Arial" w:hAnsi="Arial" w:cs="Arial"/>
            <w:b w:val="0"/>
            <w:color w:val="auto"/>
            <w:sz w:val="18"/>
            <w:szCs w:val="18"/>
            <w:u w:val="none"/>
          </w:rPr>
          <w:t>end Funds</w:t>
        </w:r>
      </w:hyperlink>
      <w:r w:rsidR="00175CAB" w:rsidRPr="00F20A31">
        <w:rPr>
          <w:rFonts w:ascii="Arial" w:hAnsi="Arial" w:cs="Arial"/>
          <w:b w:val="0"/>
          <w:bCs w:val="0"/>
          <w:color w:val="auto"/>
          <w:sz w:val="18"/>
          <w:szCs w:val="18"/>
        </w:rPr>
        <w:t xml:space="preserve">,” </w:t>
      </w:r>
      <w:r w:rsidR="00461BF5" w:rsidRPr="00F20A31">
        <w:rPr>
          <w:rFonts w:ascii="Arial" w:hAnsi="Arial" w:cs="Arial"/>
          <w:b w:val="0"/>
          <w:i/>
          <w:color w:val="auto"/>
          <w:sz w:val="18"/>
          <w:szCs w:val="18"/>
        </w:rPr>
        <w:t>The Quarterly Journal of Economics</w:t>
      </w:r>
      <w:r w:rsidR="00461BF5" w:rsidRPr="00F20A31">
        <w:rPr>
          <w:rFonts w:ascii="Arial" w:hAnsi="Arial" w:cs="Arial"/>
          <w:color w:val="auto"/>
          <w:sz w:val="18"/>
          <w:szCs w:val="18"/>
        </w:rPr>
        <w:t xml:space="preserve">, </w:t>
      </w:r>
      <w:r w:rsidR="00461BF5" w:rsidRPr="00F20A31">
        <w:rPr>
          <w:rFonts w:ascii="Arial" w:hAnsi="Arial" w:cs="Arial"/>
          <w:b w:val="0"/>
          <w:color w:val="auto"/>
          <w:sz w:val="18"/>
          <w:szCs w:val="18"/>
        </w:rPr>
        <w:t>199</w:t>
      </w:r>
      <w:r w:rsidR="00CB2447">
        <w:rPr>
          <w:rFonts w:ascii="Arial" w:hAnsi="Arial" w:cs="Arial"/>
          <w:b w:val="0"/>
          <w:color w:val="auto"/>
          <w:sz w:val="18"/>
          <w:szCs w:val="18"/>
        </w:rPr>
        <w:t>6, pp. 1135-1151.</w:t>
      </w:r>
    </w:p>
    <w:p w:rsidR="00E343A0" w:rsidRDefault="00E343A0" w:rsidP="006511E5">
      <w:pPr>
        <w:pStyle w:val="Heading3"/>
        <w:shd w:val="clear" w:color="auto" w:fill="FFFFFF"/>
        <w:spacing w:before="0" w:line="240" w:lineRule="auto"/>
        <w:rPr>
          <w:rFonts w:ascii="Arial" w:hAnsi="Arial" w:cs="Arial"/>
          <w:b w:val="0"/>
          <w:color w:val="333333"/>
          <w:sz w:val="18"/>
          <w:szCs w:val="18"/>
          <w:shd w:val="clear" w:color="auto" w:fill="EFF3F8"/>
        </w:rPr>
      </w:pPr>
    </w:p>
    <w:p w:rsidR="000E7650" w:rsidRPr="00F20A31" w:rsidRDefault="00F4780E" w:rsidP="006511E5">
      <w:pPr>
        <w:pStyle w:val="Heading3"/>
        <w:shd w:val="clear" w:color="auto" w:fill="FFFFFF"/>
        <w:spacing w:before="0" w:line="240" w:lineRule="auto"/>
        <w:rPr>
          <w:rFonts w:ascii="Arial" w:hAnsi="Arial" w:cs="Arial"/>
          <w:b w:val="0"/>
          <w:color w:val="auto"/>
          <w:sz w:val="18"/>
          <w:szCs w:val="18"/>
        </w:rPr>
      </w:pPr>
      <w:r>
        <w:rPr>
          <w:rFonts w:ascii="Arial" w:hAnsi="Arial" w:cs="Arial"/>
          <w:b w:val="0"/>
          <w:color w:val="333333"/>
          <w:sz w:val="18"/>
          <w:szCs w:val="18"/>
          <w:shd w:val="clear" w:color="auto" w:fill="EFF3F8"/>
        </w:rPr>
        <w:t xml:space="preserve">[9] </w:t>
      </w:r>
      <w:r w:rsidR="00E343A0" w:rsidRPr="00E343A0">
        <w:rPr>
          <w:rFonts w:ascii="Arial" w:hAnsi="Arial" w:cs="Arial"/>
          <w:b w:val="0"/>
          <w:color w:val="333333"/>
          <w:sz w:val="18"/>
          <w:szCs w:val="18"/>
          <w:shd w:val="clear" w:color="auto" w:fill="EFF3F8"/>
        </w:rPr>
        <w:t>Reichert, Carolyn &amp; Timmons, J. Douglas, "</w:t>
      </w:r>
      <w:hyperlink r:id="rId16" w:history="1">
        <w:r w:rsidR="00E343A0" w:rsidRPr="00E343A0">
          <w:rPr>
            <w:rStyle w:val="Hyperlink"/>
            <w:rFonts w:ascii="Arial" w:hAnsi="Arial" w:cs="Arial"/>
            <w:b w:val="0"/>
            <w:bCs w:val="0"/>
            <w:color w:val="2D4E8B"/>
            <w:sz w:val="18"/>
            <w:szCs w:val="18"/>
            <w:u w:val="none"/>
          </w:rPr>
          <w:t>Closed-End Investment Companies: Historic Returns and Investment Strategies</w:t>
        </w:r>
      </w:hyperlink>
      <w:r w:rsidR="00E343A0" w:rsidRPr="00E343A0">
        <w:rPr>
          <w:rFonts w:ascii="Arial" w:hAnsi="Arial" w:cs="Arial"/>
          <w:b w:val="0"/>
          <w:color w:val="333333"/>
          <w:sz w:val="18"/>
          <w:szCs w:val="18"/>
          <w:shd w:val="clear" w:color="auto" w:fill="EFF3F8"/>
        </w:rPr>
        <w:t>,"</w:t>
      </w:r>
      <w:r w:rsidR="00E343A0" w:rsidRPr="00E343A0">
        <w:rPr>
          <w:rStyle w:val="apple-converted-space"/>
          <w:rFonts w:ascii="Arial" w:hAnsi="Arial" w:cs="Arial"/>
          <w:b w:val="0"/>
          <w:color w:val="333333"/>
          <w:sz w:val="18"/>
          <w:szCs w:val="18"/>
          <w:shd w:val="clear" w:color="auto" w:fill="EFF3F8"/>
        </w:rPr>
        <w:t> </w:t>
      </w:r>
      <w:hyperlink r:id="rId17" w:history="1">
        <w:r w:rsidR="00E343A0" w:rsidRPr="00E343A0">
          <w:rPr>
            <w:rStyle w:val="Hyperlink"/>
            <w:rFonts w:ascii="Arial" w:hAnsi="Arial" w:cs="Arial"/>
            <w:b w:val="0"/>
            <w:color w:val="2D4E8B"/>
            <w:sz w:val="18"/>
            <w:szCs w:val="18"/>
            <w:u w:val="none"/>
          </w:rPr>
          <w:t>Financial Services Review</w:t>
        </w:r>
      </w:hyperlink>
      <w:r w:rsidR="00E343A0" w:rsidRPr="00E343A0">
        <w:rPr>
          <w:rFonts w:ascii="Arial" w:hAnsi="Arial" w:cs="Arial"/>
          <w:b w:val="0"/>
          <w:color w:val="333333"/>
          <w:sz w:val="18"/>
          <w:szCs w:val="18"/>
          <w:shd w:val="clear" w:color="auto" w:fill="EFF3F8"/>
        </w:rPr>
        <w:t>, 1998, vol. 7(2), pages 83-93</w:t>
      </w:r>
    </w:p>
    <w:p w:rsidR="00E343A0" w:rsidRDefault="00E343A0" w:rsidP="006511E5">
      <w:pPr>
        <w:pStyle w:val="Heading3"/>
        <w:shd w:val="clear" w:color="auto" w:fill="FFFFFF"/>
        <w:spacing w:before="0" w:line="240" w:lineRule="auto"/>
        <w:rPr>
          <w:rFonts w:ascii="Arial" w:hAnsi="Arial" w:cs="Arial"/>
          <w:b w:val="0"/>
          <w:color w:val="auto"/>
          <w:sz w:val="18"/>
          <w:szCs w:val="18"/>
        </w:rPr>
      </w:pPr>
    </w:p>
    <w:p w:rsidR="000E7650" w:rsidRPr="00F20A31" w:rsidRDefault="00F4780E" w:rsidP="006511E5">
      <w:pPr>
        <w:pStyle w:val="Heading3"/>
        <w:shd w:val="clear" w:color="auto" w:fill="FFFFFF"/>
        <w:spacing w:before="0" w:line="240" w:lineRule="auto"/>
        <w:rPr>
          <w:rFonts w:ascii="Arial" w:hAnsi="Arial" w:cs="Arial"/>
          <w:b w:val="0"/>
          <w:bCs w:val="0"/>
          <w:color w:val="auto"/>
          <w:sz w:val="18"/>
          <w:szCs w:val="18"/>
        </w:rPr>
      </w:pPr>
      <w:r>
        <w:rPr>
          <w:rFonts w:ascii="Arial" w:hAnsi="Arial" w:cs="Arial"/>
          <w:b w:val="0"/>
          <w:color w:val="auto"/>
          <w:sz w:val="18"/>
          <w:szCs w:val="18"/>
        </w:rPr>
        <w:t xml:space="preserve">[10] </w:t>
      </w:r>
      <w:hyperlink r:id="rId18" w:history="1">
        <w:r w:rsidR="000E7650" w:rsidRPr="00F20A31">
          <w:rPr>
            <w:rStyle w:val="Hyperlink"/>
            <w:rFonts w:ascii="Arial" w:hAnsi="Arial" w:cs="Arial"/>
            <w:b w:val="0"/>
            <w:color w:val="auto"/>
            <w:sz w:val="18"/>
            <w:szCs w:val="18"/>
            <w:u w:val="none"/>
          </w:rPr>
          <w:t>Weiss</w:t>
        </w:r>
      </w:hyperlink>
      <w:r w:rsidR="000E7650" w:rsidRPr="00F20A31">
        <w:rPr>
          <w:rFonts w:ascii="Arial" w:hAnsi="Arial" w:cs="Arial"/>
          <w:b w:val="0"/>
          <w:color w:val="auto"/>
          <w:sz w:val="18"/>
          <w:szCs w:val="18"/>
        </w:rPr>
        <w:t>, Kathleen, “</w:t>
      </w:r>
      <w:hyperlink r:id="rId19" w:history="1">
        <w:r w:rsidR="000E7650" w:rsidRPr="00F20A31">
          <w:rPr>
            <w:rStyle w:val="Hyperlink"/>
            <w:rFonts w:ascii="Arial" w:hAnsi="Arial" w:cs="Arial"/>
            <w:b w:val="0"/>
            <w:bCs w:val="0"/>
            <w:color w:val="auto"/>
            <w:sz w:val="18"/>
            <w:szCs w:val="18"/>
            <w:u w:val="none"/>
          </w:rPr>
          <w:t>The Post-Offering Price Performance of</w:t>
        </w:r>
        <w:r w:rsidR="000E7650" w:rsidRPr="00F20A31">
          <w:rPr>
            <w:rStyle w:val="apple-converted-space"/>
            <w:rFonts w:ascii="Arial" w:hAnsi="Arial" w:cs="Arial"/>
            <w:b w:val="0"/>
            <w:bCs w:val="0"/>
            <w:color w:val="auto"/>
            <w:sz w:val="18"/>
            <w:szCs w:val="18"/>
          </w:rPr>
          <w:t> </w:t>
        </w:r>
        <w:r w:rsidR="000E7650" w:rsidRPr="00F20A31">
          <w:rPr>
            <w:rStyle w:val="Hyperlink"/>
            <w:rFonts w:ascii="Arial" w:hAnsi="Arial" w:cs="Arial"/>
            <w:b w:val="0"/>
            <w:color w:val="auto"/>
            <w:sz w:val="18"/>
            <w:szCs w:val="18"/>
            <w:u w:val="none"/>
          </w:rPr>
          <w:t>Closed</w:t>
        </w:r>
        <w:r w:rsidR="000E7650" w:rsidRPr="00F20A31">
          <w:rPr>
            <w:rStyle w:val="Hyperlink"/>
            <w:rFonts w:ascii="Arial" w:hAnsi="Arial" w:cs="Arial"/>
            <w:b w:val="0"/>
            <w:bCs w:val="0"/>
            <w:color w:val="auto"/>
            <w:sz w:val="18"/>
            <w:szCs w:val="18"/>
            <w:u w:val="none"/>
          </w:rPr>
          <w:t>-</w:t>
        </w:r>
        <w:r w:rsidR="000E7650" w:rsidRPr="00F20A31">
          <w:rPr>
            <w:rStyle w:val="Hyperlink"/>
            <w:rFonts w:ascii="Arial" w:hAnsi="Arial" w:cs="Arial"/>
            <w:b w:val="0"/>
            <w:color w:val="auto"/>
            <w:sz w:val="18"/>
            <w:szCs w:val="18"/>
            <w:u w:val="none"/>
          </w:rPr>
          <w:t>End Funds</w:t>
        </w:r>
      </w:hyperlink>
      <w:r w:rsidR="000E7650" w:rsidRPr="00F20A31">
        <w:rPr>
          <w:rFonts w:ascii="Arial" w:hAnsi="Arial" w:cs="Arial"/>
          <w:b w:val="0"/>
          <w:bCs w:val="0"/>
          <w:color w:val="auto"/>
          <w:sz w:val="18"/>
          <w:szCs w:val="18"/>
        </w:rPr>
        <w:t xml:space="preserve">,” </w:t>
      </w:r>
      <w:r w:rsidR="000E7650" w:rsidRPr="00F20A31">
        <w:rPr>
          <w:rFonts w:ascii="Arial" w:hAnsi="Arial" w:cs="Arial"/>
          <w:b w:val="0"/>
          <w:i/>
          <w:color w:val="auto"/>
          <w:sz w:val="18"/>
          <w:szCs w:val="18"/>
        </w:rPr>
        <w:t>Financial Management,</w:t>
      </w:r>
      <w:r w:rsidR="00BD3805">
        <w:rPr>
          <w:rFonts w:ascii="Arial" w:hAnsi="Arial" w:cs="Arial"/>
          <w:b w:val="0"/>
          <w:color w:val="auto"/>
          <w:sz w:val="18"/>
          <w:szCs w:val="18"/>
        </w:rPr>
        <w:t xml:space="preserve"> </w:t>
      </w:r>
      <w:proofErr w:type="gramStart"/>
      <w:r w:rsidR="00BD3805">
        <w:rPr>
          <w:rFonts w:ascii="Arial" w:hAnsi="Arial" w:cs="Arial"/>
          <w:b w:val="0"/>
          <w:color w:val="auto"/>
          <w:sz w:val="18"/>
          <w:szCs w:val="18"/>
        </w:rPr>
        <w:t>Autumn</w:t>
      </w:r>
      <w:proofErr w:type="gramEnd"/>
      <w:r w:rsidR="00BD3805">
        <w:rPr>
          <w:rFonts w:ascii="Arial" w:hAnsi="Arial" w:cs="Arial"/>
          <w:b w:val="0"/>
          <w:color w:val="auto"/>
          <w:sz w:val="18"/>
          <w:szCs w:val="18"/>
        </w:rPr>
        <w:t xml:space="preserve"> 1</w:t>
      </w:r>
      <w:r w:rsidR="000E7650" w:rsidRPr="00F20A31">
        <w:rPr>
          <w:rFonts w:ascii="Arial" w:hAnsi="Arial" w:cs="Arial"/>
          <w:b w:val="0"/>
          <w:color w:val="auto"/>
          <w:sz w:val="18"/>
          <w:szCs w:val="18"/>
        </w:rPr>
        <w:t>989, pp.</w:t>
      </w:r>
      <w:r w:rsidR="00DE1084" w:rsidRPr="00F20A31">
        <w:rPr>
          <w:rFonts w:ascii="Arial" w:hAnsi="Arial" w:cs="Arial"/>
          <w:b w:val="0"/>
          <w:color w:val="auto"/>
          <w:sz w:val="18"/>
          <w:szCs w:val="18"/>
        </w:rPr>
        <w:t xml:space="preserve"> 57-</w:t>
      </w:r>
      <w:r w:rsidR="00BD3805">
        <w:rPr>
          <w:rFonts w:ascii="Arial" w:hAnsi="Arial" w:cs="Arial"/>
          <w:b w:val="0"/>
          <w:color w:val="auto"/>
          <w:sz w:val="18"/>
          <w:szCs w:val="18"/>
        </w:rPr>
        <w:t>67.</w:t>
      </w:r>
    </w:p>
    <w:p w:rsidR="00461BF5" w:rsidRPr="0082152D" w:rsidRDefault="00461BF5" w:rsidP="006511E5">
      <w:pPr>
        <w:spacing w:line="240" w:lineRule="auto"/>
        <w:ind w:right="480"/>
        <w:textAlignment w:val="baseline"/>
        <w:outlineLvl w:val="0"/>
        <w:rPr>
          <w:rFonts w:ascii="Arial" w:eastAsia="Times New Roman" w:hAnsi="Arial" w:cs="Arial"/>
          <w:bCs/>
          <w:color w:val="000000"/>
          <w:kern w:val="36"/>
          <w:sz w:val="18"/>
          <w:szCs w:val="18"/>
        </w:rPr>
      </w:pPr>
    </w:p>
    <w:p w:rsidR="00D50696" w:rsidRPr="00EC1ECD" w:rsidRDefault="00F4780E" w:rsidP="006511E5">
      <w:pPr>
        <w:pStyle w:val="Heading1"/>
        <w:spacing w:before="0" w:beforeAutospacing="0" w:after="0" w:afterAutospacing="0"/>
        <w:ind w:right="480"/>
        <w:textAlignment w:val="baseline"/>
        <w:rPr>
          <w:rFonts w:ascii="Arial" w:hAnsi="Arial" w:cs="Arial"/>
          <w:color w:val="A3A2A2"/>
          <w:sz w:val="18"/>
          <w:szCs w:val="18"/>
        </w:rPr>
      </w:pPr>
      <w:r>
        <w:rPr>
          <w:rFonts w:ascii="Arial" w:hAnsi="Arial" w:cs="Arial"/>
          <w:b w:val="0"/>
          <w:color w:val="000000"/>
          <w:sz w:val="18"/>
          <w:szCs w:val="18"/>
        </w:rPr>
        <w:t xml:space="preserve">[11] </w:t>
      </w:r>
      <w:r w:rsidR="00D50696" w:rsidRPr="00F20A31">
        <w:rPr>
          <w:rFonts w:ascii="Arial" w:hAnsi="Arial" w:cs="Arial"/>
          <w:b w:val="0"/>
          <w:color w:val="000000"/>
          <w:sz w:val="18"/>
          <w:szCs w:val="18"/>
        </w:rPr>
        <w:t xml:space="preserve">Zweig </w:t>
      </w:r>
      <w:r>
        <w:rPr>
          <w:rFonts w:ascii="Arial" w:hAnsi="Arial" w:cs="Arial"/>
          <w:b w:val="0"/>
          <w:color w:val="000000"/>
          <w:sz w:val="18"/>
          <w:szCs w:val="18"/>
        </w:rPr>
        <w:t>Martin E.</w:t>
      </w:r>
      <w:r w:rsidR="00D50696" w:rsidRPr="00F20A31">
        <w:rPr>
          <w:rFonts w:ascii="Arial" w:hAnsi="Arial" w:cs="Arial"/>
          <w:b w:val="0"/>
          <w:color w:val="000000"/>
          <w:sz w:val="18"/>
          <w:szCs w:val="18"/>
        </w:rPr>
        <w:t>,</w:t>
      </w:r>
      <w:r w:rsidR="00D50696" w:rsidRPr="00F20A31">
        <w:rPr>
          <w:rStyle w:val="maintitle"/>
          <w:rFonts w:ascii="Arial" w:hAnsi="Arial" w:cs="Arial"/>
          <w:b w:val="0"/>
          <w:color w:val="000000"/>
          <w:sz w:val="18"/>
          <w:szCs w:val="18"/>
          <w:bdr w:val="none" w:sz="0" w:space="0" w:color="auto" w:frame="1"/>
        </w:rPr>
        <w:t xml:space="preserve"> An Investor Expectations Stock Price Predictive Model Using Closed-End Fund Premiums,</w:t>
      </w:r>
      <w:proofErr w:type="gramStart"/>
      <w:r w:rsidR="00D50696" w:rsidRPr="00F20A31">
        <w:rPr>
          <w:rStyle w:val="maintitle"/>
          <w:rFonts w:ascii="Arial" w:hAnsi="Arial" w:cs="Arial"/>
          <w:b w:val="0"/>
          <w:color w:val="000000"/>
          <w:sz w:val="18"/>
          <w:szCs w:val="18"/>
          <w:bdr w:val="none" w:sz="0" w:space="0" w:color="auto" w:frame="1"/>
        </w:rPr>
        <w:t xml:space="preserve">” </w:t>
      </w:r>
      <w:r w:rsidR="00D50696" w:rsidRPr="00F20A31">
        <w:rPr>
          <w:rFonts w:ascii="Arial" w:hAnsi="Arial" w:cs="Arial"/>
          <w:b w:val="0"/>
          <w:color w:val="000000"/>
          <w:sz w:val="18"/>
          <w:szCs w:val="18"/>
        </w:rPr>
        <w:t xml:space="preserve"> </w:t>
      </w:r>
      <w:r w:rsidR="00D50696" w:rsidRPr="006511E5">
        <w:rPr>
          <w:rFonts w:ascii="Arial" w:hAnsi="Arial" w:cs="Arial"/>
          <w:b w:val="0"/>
          <w:i/>
          <w:sz w:val="18"/>
          <w:szCs w:val="18"/>
        </w:rPr>
        <w:t>The</w:t>
      </w:r>
      <w:proofErr w:type="gramEnd"/>
      <w:r w:rsidR="00D50696" w:rsidRPr="006511E5">
        <w:rPr>
          <w:rFonts w:ascii="Arial" w:hAnsi="Arial" w:cs="Arial"/>
          <w:b w:val="0"/>
          <w:i/>
          <w:sz w:val="18"/>
          <w:szCs w:val="18"/>
        </w:rPr>
        <w:t xml:space="preserve"> Journal of Finance</w:t>
      </w:r>
      <w:r w:rsidR="00BE1F77">
        <w:rPr>
          <w:rFonts w:ascii="Arial" w:hAnsi="Arial" w:cs="Arial"/>
          <w:b w:val="0"/>
          <w:i/>
          <w:sz w:val="18"/>
          <w:szCs w:val="18"/>
        </w:rPr>
        <w:t xml:space="preserve">, </w:t>
      </w:r>
      <w:r w:rsidR="00BE1F77" w:rsidRPr="00BE1F77">
        <w:rPr>
          <w:rFonts w:ascii="Arial" w:hAnsi="Arial" w:cs="Arial"/>
          <w:b w:val="0"/>
          <w:sz w:val="18"/>
          <w:szCs w:val="18"/>
        </w:rPr>
        <w:t>March 1973</w:t>
      </w:r>
      <w:r w:rsidR="00BE1F77">
        <w:rPr>
          <w:rFonts w:ascii="Arial" w:hAnsi="Arial" w:cs="Arial"/>
          <w:b w:val="0"/>
          <w:i/>
          <w:sz w:val="18"/>
          <w:szCs w:val="18"/>
        </w:rPr>
        <w:t>,</w:t>
      </w:r>
      <w:r w:rsidR="00D50696" w:rsidRPr="006511E5">
        <w:rPr>
          <w:rFonts w:ascii="Arial" w:hAnsi="Arial" w:cs="Arial"/>
          <w:b w:val="0"/>
          <w:sz w:val="18"/>
          <w:szCs w:val="18"/>
        </w:rPr>
        <w:t xml:space="preserve"> </w:t>
      </w:r>
      <w:r w:rsidR="00D50696" w:rsidRPr="006511E5">
        <w:rPr>
          <w:rFonts w:ascii="Arial" w:hAnsi="Arial" w:cs="Arial"/>
          <w:b w:val="0"/>
          <w:bCs w:val="0"/>
          <w:sz w:val="18"/>
          <w:szCs w:val="18"/>
          <w:bdr w:val="none" w:sz="0" w:space="0" w:color="auto" w:frame="1"/>
        </w:rPr>
        <w:t>pages 67–78</w:t>
      </w:r>
      <w:r w:rsidR="006511E5" w:rsidRPr="006511E5">
        <w:rPr>
          <w:rFonts w:ascii="Arial" w:hAnsi="Arial" w:cs="Arial"/>
          <w:sz w:val="18"/>
          <w:szCs w:val="18"/>
        </w:rPr>
        <w:t>.</w:t>
      </w:r>
    </w:p>
    <w:p w:rsidR="00E343A0" w:rsidRDefault="00E343A0" w:rsidP="00C432C9">
      <w:pPr>
        <w:pStyle w:val="Heading1"/>
        <w:spacing w:before="0" w:beforeAutospacing="0" w:after="0" w:afterAutospacing="0"/>
        <w:ind w:right="480"/>
        <w:textAlignment w:val="baseline"/>
        <w:rPr>
          <w:rFonts w:ascii="Verdana" w:hAnsi="Verdana"/>
          <w:color w:val="333333"/>
          <w:sz w:val="14"/>
          <w:szCs w:val="14"/>
          <w:shd w:val="clear" w:color="auto" w:fill="EFF3F8"/>
        </w:rPr>
      </w:pPr>
    </w:p>
    <w:p w:rsidR="00D50696" w:rsidRPr="00E343A0" w:rsidRDefault="00E343A0" w:rsidP="00C432C9">
      <w:pPr>
        <w:pStyle w:val="Heading1"/>
        <w:spacing w:before="0" w:beforeAutospacing="0" w:after="0" w:afterAutospacing="0"/>
        <w:ind w:right="480"/>
        <w:textAlignment w:val="baseline"/>
        <w:rPr>
          <w:rFonts w:ascii="Arial" w:hAnsi="Arial" w:cs="Arial"/>
          <w:b w:val="0"/>
          <w:color w:val="A3A2A2"/>
          <w:sz w:val="18"/>
          <w:szCs w:val="18"/>
        </w:rPr>
      </w:pPr>
      <w:r w:rsidRPr="00E343A0">
        <w:rPr>
          <w:rFonts w:ascii="Arial" w:hAnsi="Arial" w:cs="Arial"/>
          <w:b w:val="0"/>
          <w:color w:val="333333"/>
          <w:sz w:val="18"/>
          <w:szCs w:val="18"/>
          <w:shd w:val="clear" w:color="auto" w:fill="EFF3F8"/>
        </w:rPr>
        <w:t>.</w:t>
      </w:r>
    </w:p>
    <w:sectPr w:rsidR="00D50696" w:rsidRPr="00E343A0" w:rsidSect="00A23AE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4DD" w:rsidRDefault="00C244DD" w:rsidP="00720522">
      <w:pPr>
        <w:spacing w:line="240" w:lineRule="auto"/>
      </w:pPr>
      <w:r>
        <w:separator/>
      </w:r>
    </w:p>
  </w:endnote>
  <w:endnote w:type="continuationSeparator" w:id="0">
    <w:p w:rsidR="00C244DD" w:rsidRDefault="00C244DD" w:rsidP="007205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4DD" w:rsidRDefault="00C244DD" w:rsidP="00720522">
      <w:pPr>
        <w:spacing w:line="240" w:lineRule="auto"/>
      </w:pPr>
      <w:r>
        <w:separator/>
      </w:r>
    </w:p>
  </w:footnote>
  <w:footnote w:type="continuationSeparator" w:id="0">
    <w:p w:rsidR="00C244DD" w:rsidRDefault="00C244DD" w:rsidP="00720522">
      <w:pPr>
        <w:spacing w:line="240" w:lineRule="auto"/>
      </w:pPr>
      <w:r>
        <w:continuationSeparator/>
      </w:r>
    </w:p>
  </w:footnote>
  <w:footnote w:id="1">
    <w:p w:rsidR="00605961" w:rsidRPr="008F3FA8" w:rsidRDefault="00605961">
      <w:pPr>
        <w:pStyle w:val="FootnoteText"/>
      </w:pPr>
      <w:r w:rsidRPr="008F3FA8">
        <w:rPr>
          <w:rStyle w:val="FootnoteReference"/>
        </w:rPr>
        <w:footnoteRef/>
      </w:r>
      <w:r w:rsidR="00C82CDE">
        <w:t xml:space="preserve"> If you go</w:t>
      </w:r>
      <w:r w:rsidRPr="008F3FA8">
        <w:t xml:space="preserve"> to CEFconnect</w:t>
      </w:r>
      <w:r w:rsidR="003D3DF0">
        <w:t>.com</w:t>
      </w:r>
      <w:r w:rsidRPr="008F3FA8">
        <w:t xml:space="preserve"> </w:t>
      </w:r>
      <w:r w:rsidR="00C82CDE">
        <w:t xml:space="preserve">and click </w:t>
      </w:r>
      <w:r w:rsidRPr="008F3FA8">
        <w:t xml:space="preserve">on </w:t>
      </w:r>
      <w:r w:rsidR="008F3FA8" w:rsidRPr="008F3FA8">
        <w:t xml:space="preserve">“Fund Sorter” so that funds are sorted by “premium,” </w:t>
      </w:r>
      <w:r w:rsidR="00C82CDE">
        <w:t xml:space="preserve">in recent years </w:t>
      </w:r>
      <w:r w:rsidR="008F3FA8" w:rsidRPr="008F3FA8">
        <w:t xml:space="preserve">you would almost always have found that either PHK or PGP were at the top of the list.  On Aug. 13, 2012 these funds were trading at premiums in excess of 70%.  </w:t>
      </w:r>
      <w:r w:rsidR="00C82CDE">
        <w:t xml:space="preserve">On August 19, 2014, PGP was trading for an 80% premium, while PHK was second on the list, trading for a 52% premium.  </w:t>
      </w:r>
      <w:r w:rsidR="008F3FA8">
        <w:t>Thus,</w:t>
      </w:r>
      <w:r w:rsidR="003D76F9">
        <w:t xml:space="preserve"> on August 19, 2014,</w:t>
      </w:r>
      <w:r w:rsidR="008F3FA8">
        <w:t xml:space="preserve"> to buy $1.00 worth of the portfolios held by </w:t>
      </w:r>
      <w:r w:rsidR="003D76F9">
        <w:t>PGP</w:t>
      </w:r>
      <w:r w:rsidR="008F3FA8">
        <w:t xml:space="preserve">, you would have to pony up </w:t>
      </w:r>
      <w:r w:rsidR="003D76F9">
        <w:t>approximately $1.8</w:t>
      </w:r>
      <w:r w:rsidR="008F3FA8">
        <w:t xml:space="preserve">0.  The logical explanation </w:t>
      </w:r>
      <w:r w:rsidR="003D76F9">
        <w:t xml:space="preserve">(if there is one) </w:t>
      </w:r>
      <w:r w:rsidR="0025146F">
        <w:t xml:space="preserve">for the premiums </w:t>
      </w:r>
      <w:r w:rsidR="003D76F9">
        <w:t xml:space="preserve">is probably </w:t>
      </w:r>
      <w:r w:rsidR="0025146F">
        <w:t>related to the fact t</w:t>
      </w:r>
      <w:r w:rsidR="008F3FA8">
        <w:t xml:space="preserve">hat both are managed by the highly successful </w:t>
      </w:r>
      <w:proofErr w:type="spellStart"/>
      <w:r w:rsidR="008F3FA8">
        <w:t>Pimco</w:t>
      </w:r>
      <w:proofErr w:type="spellEnd"/>
      <w:r w:rsidR="008F3FA8">
        <w:t xml:space="preserve"> group of funds.</w:t>
      </w:r>
      <w:r w:rsidR="0025146F">
        <w:t xml:space="preserve">  PGP bottomed out at a NAV of </w:t>
      </w:r>
      <w:r w:rsidR="003D76F9">
        <w:t xml:space="preserve">about $6 in early 2009, and </w:t>
      </w:r>
      <w:r w:rsidR="0025146F">
        <w:t xml:space="preserve">doubled in value by early 2012.  During that period it has paid a monthly dividend of $.18 a share.  The combination of capital gains and dividends would have yielded an investor buying at the $6.00 price an annualized rate of return of over 50% if dividends had been reinvested in PGP.  </w:t>
      </w:r>
      <w:r w:rsidR="003D76F9">
        <w:t xml:space="preserve">In the two years from August 2012, PGP hasn’t done as well, but has earned approximately 15% per year based on NAV growth, a hearty rate of return.  In spite of </w:t>
      </w:r>
      <w:proofErr w:type="gramStart"/>
      <w:r w:rsidR="003D76F9">
        <w:t>this record</w:t>
      </w:r>
      <w:r w:rsidR="0025146F">
        <w:t>, short sellers</w:t>
      </w:r>
      <w:proofErr w:type="gramEnd"/>
      <w:r w:rsidR="0025146F">
        <w:t xml:space="preserve"> </w:t>
      </w:r>
      <w:r w:rsidR="003D76F9">
        <w:t xml:space="preserve">(including yours truly) </w:t>
      </w:r>
      <w:r w:rsidR="0025146F">
        <w:t>are skeptical</w:t>
      </w:r>
      <w:r w:rsidR="003D76F9">
        <w:t xml:space="preserve"> about the large premium over NAV</w:t>
      </w:r>
      <w:r w:rsidR="0025146F">
        <w:t>: I ha</w:t>
      </w:r>
      <w:r w:rsidR="003D76F9">
        <w:t>ve tried to short this fund multiple</w:t>
      </w:r>
      <w:r w:rsidR="0025146F">
        <w:t xml:space="preserve"> times but alw</w:t>
      </w:r>
      <w:r w:rsidR="003D76F9">
        <w:t>ays have found that the stock was</w:t>
      </w:r>
      <w:r w:rsidR="0025146F">
        <w:t xml:space="preserve"> unavailable</w:t>
      </w:r>
      <w:r w:rsidR="003D76F9">
        <w:t xml:space="preserve"> for short selling (Lucky for me given the continued appreciation in PGP)</w:t>
      </w:r>
      <w:r w:rsidR="0025146F">
        <w:t xml:space="preserve">. </w:t>
      </w:r>
    </w:p>
  </w:footnote>
  <w:footnote w:id="2">
    <w:p w:rsidR="00F4780E" w:rsidRDefault="00F4780E">
      <w:pPr>
        <w:pStyle w:val="FootnoteText"/>
      </w:pPr>
      <w:r>
        <w:rPr>
          <w:rStyle w:val="FootnoteReference"/>
        </w:rPr>
        <w:footnoteRef/>
      </w:r>
      <w:r>
        <w:t xml:space="preserve"> In [7] </w:t>
      </w:r>
      <w:proofErr w:type="spellStart"/>
      <w:r>
        <w:t>Malkiel</w:t>
      </w:r>
      <w:proofErr w:type="spellEnd"/>
      <w:r w:rsidR="00EC4C4A">
        <w:t xml:space="preserve"> argues that brokers have little incentive to sell CEFs given that many open-end funds pay bro</w:t>
      </w:r>
      <w:r w:rsidR="003D3DF0">
        <w:t>kers a load (commission) to market open-end funds</w:t>
      </w:r>
      <w:r w:rsidR="00EC4C4A">
        <w:t>.</w:t>
      </w:r>
    </w:p>
  </w:footnote>
  <w:footnote w:id="3">
    <w:p w:rsidR="00EC4C4A" w:rsidRDefault="00EC4C4A">
      <w:pPr>
        <w:pStyle w:val="FootnoteText"/>
      </w:pPr>
      <w:r>
        <w:rPr>
          <w:rStyle w:val="FootnoteReference"/>
        </w:rPr>
        <w:footnoteRef/>
      </w:r>
    </w:p>
  </w:footnote>
  <w:footnote w:id="4">
    <w:p w:rsidR="00105C2A" w:rsidRPr="008F3FA8" w:rsidRDefault="00105C2A">
      <w:pPr>
        <w:pStyle w:val="FootnoteText"/>
      </w:pPr>
      <w:r w:rsidRPr="008F3FA8">
        <w:rPr>
          <w:rStyle w:val="FootnoteReference"/>
        </w:rPr>
        <w:footnoteRef/>
      </w:r>
      <w:r w:rsidRPr="008F3FA8">
        <w:t xml:space="preserve"> M</w:t>
      </w:r>
      <w:r w:rsidR="00BE7A04" w:rsidRPr="008F3FA8">
        <w:t>any</w:t>
      </w:r>
      <w:r w:rsidRPr="008F3FA8">
        <w:t xml:space="preserve"> providers of capital to start-ups are set up as limited partnerships.  Perhaps this suggests that the CEF structure has drawbacks as a provi</w:t>
      </w:r>
      <w:r w:rsidR="0025146F">
        <w:t>d</w:t>
      </w:r>
      <w:r w:rsidRPr="008F3FA8">
        <w:t xml:space="preserve">er of start-up financing.  </w:t>
      </w:r>
    </w:p>
  </w:footnote>
  <w:footnote w:id="5">
    <w:p w:rsidR="00105C2A" w:rsidRPr="008F3FA8" w:rsidRDefault="00105C2A">
      <w:pPr>
        <w:pStyle w:val="FootnoteText"/>
      </w:pPr>
      <w:r w:rsidRPr="008F3FA8">
        <w:rPr>
          <w:rStyle w:val="FootnoteReference"/>
        </w:rPr>
        <w:footnoteRef/>
      </w:r>
      <w:r w:rsidR="00971310" w:rsidRPr="008F3FA8">
        <w:t xml:space="preserve"> </w:t>
      </w:r>
      <w:r w:rsidR="00C82CDE">
        <w:t xml:space="preserve">In </w:t>
      </w:r>
      <w:r w:rsidR="007C40E8">
        <w:t>early 2011</w:t>
      </w:r>
      <w:r w:rsidR="00C82CDE">
        <w:t xml:space="preserve"> </w:t>
      </w:r>
      <w:r w:rsidR="007C40E8">
        <w:t>t</w:t>
      </w:r>
      <w:r w:rsidR="00971310" w:rsidRPr="008F3FA8">
        <w:t>his writer owned FOFI (First Opportunity Fund</w:t>
      </w:r>
      <w:r w:rsidR="00BE7A04" w:rsidRPr="008F3FA8">
        <w:t>)</w:t>
      </w:r>
      <w:r w:rsidR="007C40E8">
        <w:t>.  I</w:t>
      </w:r>
      <w:r w:rsidRPr="008F3FA8">
        <w:t xml:space="preserve">n </w:t>
      </w:r>
      <w:r w:rsidR="00BE7A04" w:rsidRPr="008F3FA8">
        <w:t>the spring of 2011</w:t>
      </w:r>
      <w:r w:rsidRPr="008F3FA8">
        <w:t xml:space="preserve"> </w:t>
      </w:r>
      <w:r w:rsidR="007C40E8">
        <w:t>I sold my position in this fund when it</w:t>
      </w:r>
      <w:r w:rsidRPr="008F3FA8">
        <w:t xml:space="preserve"> announced that it would be transitioning to </w:t>
      </w:r>
      <w:r w:rsidR="00BE7A04" w:rsidRPr="008F3FA8">
        <w:t>a CEF specializing in investments in hedge funds</w:t>
      </w:r>
      <w:r w:rsidR="004B3A5A">
        <w:t xml:space="preserve">.  </w:t>
      </w:r>
      <w:r w:rsidR="00C61000">
        <w:t xml:space="preserve">Subsequently the NAV of </w:t>
      </w:r>
      <w:r w:rsidR="00BE7A04" w:rsidRPr="008F3FA8">
        <w:t>FOFI</w:t>
      </w:r>
      <w:r w:rsidR="00315E2A" w:rsidRPr="008F3FA8">
        <w:t xml:space="preserve"> </w:t>
      </w:r>
      <w:r w:rsidR="00464240">
        <w:t xml:space="preserve">widened.  On Aug. 19, </w:t>
      </w:r>
      <w:r w:rsidR="00C61000">
        <w:t xml:space="preserve">2014 the </w:t>
      </w:r>
      <w:r w:rsidR="00464240">
        <w:t>discount from NAV was 19.97%, the third widest discount reported by CEFconnect.com for all closed-end funds</w:t>
      </w:r>
      <w:r w:rsidRPr="008F3FA8">
        <w:t>.</w:t>
      </w:r>
    </w:p>
  </w:footnote>
  <w:footnote w:id="6">
    <w:p w:rsidR="00720522" w:rsidRDefault="00720522">
      <w:pPr>
        <w:pStyle w:val="FootnoteText"/>
      </w:pPr>
      <w:r>
        <w:rPr>
          <w:rStyle w:val="FootnoteReference"/>
        </w:rPr>
        <w:footnoteRef/>
      </w:r>
      <w:r>
        <w:t>If $100 is invested in the open-end fund, then the CEF selling for a 20% discount from NAV will be selling for $80.  If both pay out a distribution of $4 one year after purchase, the percentage return to the two investors will be 4% and 5% respectively.  Other things equal, investors should strongly prefer the investment in the CEF.</w:t>
      </w:r>
    </w:p>
  </w:footnote>
  <w:footnote w:id="7">
    <w:p w:rsidR="00105C2A" w:rsidRDefault="00105C2A">
      <w:pPr>
        <w:pStyle w:val="FootnoteText"/>
      </w:pPr>
      <w:r>
        <w:rPr>
          <w:rStyle w:val="FootnoteReference"/>
        </w:rPr>
        <w:footnoteRef/>
      </w:r>
      <w:r>
        <w:t xml:space="preserve"> These figures assume all distributions are reinvested.</w:t>
      </w:r>
    </w:p>
  </w:footnote>
  <w:footnote w:id="8">
    <w:p w:rsidR="004D1EAA" w:rsidRDefault="004D1EAA">
      <w:pPr>
        <w:pStyle w:val="FootnoteText"/>
      </w:pPr>
      <w:r>
        <w:rPr>
          <w:rStyle w:val="FootnoteReference"/>
        </w:rPr>
        <w:footnoteRef/>
      </w:r>
      <w:r>
        <w:t xml:space="preserve"> The only time this writer actually demonstrated to students in real time every step involved in how to consummate a </w:t>
      </w:r>
      <w:r w:rsidR="0095287A">
        <w:t xml:space="preserve">stock market </w:t>
      </w:r>
      <w:r>
        <w:t xml:space="preserve">trade occurred during an afternoon </w:t>
      </w:r>
      <w:r w:rsidR="0095287A">
        <w:t xml:space="preserve">financial markets students </w:t>
      </w:r>
      <w:r>
        <w:t>class in the fall of 2008 when I went on-line to illustrate the widening discount from NAV of CEF</w:t>
      </w:r>
      <w:r w:rsidR="0095287A">
        <w:t>s and found that SLA</w:t>
      </w:r>
      <w:r>
        <w:t xml:space="preserve">, a CEF that I was following, was sporting a discount of approximately 35%.   I couldn’t resist the lure of buying the SLA portfolio at a mark-down of 35% from its market value so </w:t>
      </w:r>
      <w:r w:rsidR="0095287A">
        <w:t xml:space="preserve">I demonstrated the steps involved in making a trade and </w:t>
      </w:r>
      <w:r>
        <w:t xml:space="preserve">actually hit the “buy” button and bought SLA.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75649"/>
    <w:multiLevelType w:val="multilevel"/>
    <w:tmpl w:val="DEC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827F7"/>
    <w:multiLevelType w:val="multilevel"/>
    <w:tmpl w:val="CBF28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BA059C"/>
    <w:multiLevelType w:val="multilevel"/>
    <w:tmpl w:val="BA64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E6D85"/>
    <w:multiLevelType w:val="multilevel"/>
    <w:tmpl w:val="A8FA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E50AFE"/>
    <w:multiLevelType w:val="hybridMultilevel"/>
    <w:tmpl w:val="B9C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B7DF3"/>
    <w:multiLevelType w:val="multilevel"/>
    <w:tmpl w:val="6EBE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grammar="clean"/>
  <w:defaultTabStop w:val="720"/>
  <w:characterSpacingControl w:val="doNotCompress"/>
  <w:footnotePr>
    <w:footnote w:id="-1"/>
    <w:footnote w:id="0"/>
  </w:footnotePr>
  <w:endnotePr>
    <w:endnote w:id="-1"/>
    <w:endnote w:id="0"/>
  </w:endnotePr>
  <w:compat/>
  <w:rsids>
    <w:rsidRoot w:val="000B7A20"/>
    <w:rsid w:val="000005BB"/>
    <w:rsid w:val="00053B7D"/>
    <w:rsid w:val="000B7A20"/>
    <w:rsid w:val="000E7650"/>
    <w:rsid w:val="00105C2A"/>
    <w:rsid w:val="0013582D"/>
    <w:rsid w:val="00154909"/>
    <w:rsid w:val="00175CAB"/>
    <w:rsid w:val="001977E8"/>
    <w:rsid w:val="001B3263"/>
    <w:rsid w:val="00222F57"/>
    <w:rsid w:val="0025146F"/>
    <w:rsid w:val="00291408"/>
    <w:rsid w:val="00315E2A"/>
    <w:rsid w:val="003471DD"/>
    <w:rsid w:val="003D3DF0"/>
    <w:rsid w:val="003D76F9"/>
    <w:rsid w:val="0043017D"/>
    <w:rsid w:val="00430C13"/>
    <w:rsid w:val="004442CD"/>
    <w:rsid w:val="00452DE2"/>
    <w:rsid w:val="00461BF5"/>
    <w:rsid w:val="00464240"/>
    <w:rsid w:val="0048380E"/>
    <w:rsid w:val="004B3A5A"/>
    <w:rsid w:val="004D1EAA"/>
    <w:rsid w:val="005A7E41"/>
    <w:rsid w:val="005C4BE0"/>
    <w:rsid w:val="005D1154"/>
    <w:rsid w:val="00605961"/>
    <w:rsid w:val="006511E5"/>
    <w:rsid w:val="00656EDF"/>
    <w:rsid w:val="006843FF"/>
    <w:rsid w:val="006861DE"/>
    <w:rsid w:val="0069321A"/>
    <w:rsid w:val="00693C69"/>
    <w:rsid w:val="006F5105"/>
    <w:rsid w:val="00720522"/>
    <w:rsid w:val="00727E15"/>
    <w:rsid w:val="00760E6B"/>
    <w:rsid w:val="00773CE9"/>
    <w:rsid w:val="007A7D73"/>
    <w:rsid w:val="007C40E8"/>
    <w:rsid w:val="00805AEA"/>
    <w:rsid w:val="0082152D"/>
    <w:rsid w:val="00822A55"/>
    <w:rsid w:val="00836B69"/>
    <w:rsid w:val="008D1971"/>
    <w:rsid w:val="008F3FA8"/>
    <w:rsid w:val="009013D7"/>
    <w:rsid w:val="0095287A"/>
    <w:rsid w:val="00971310"/>
    <w:rsid w:val="009C2013"/>
    <w:rsid w:val="009F3CB3"/>
    <w:rsid w:val="00A23AE3"/>
    <w:rsid w:val="00A2430F"/>
    <w:rsid w:val="00BB574C"/>
    <w:rsid w:val="00BC6CB2"/>
    <w:rsid w:val="00BD3805"/>
    <w:rsid w:val="00BE1F77"/>
    <w:rsid w:val="00BE7A04"/>
    <w:rsid w:val="00C244DD"/>
    <w:rsid w:val="00C2451F"/>
    <w:rsid w:val="00C364BF"/>
    <w:rsid w:val="00C432C9"/>
    <w:rsid w:val="00C514FA"/>
    <w:rsid w:val="00C61000"/>
    <w:rsid w:val="00C70E71"/>
    <w:rsid w:val="00C82CDE"/>
    <w:rsid w:val="00CB2447"/>
    <w:rsid w:val="00D50696"/>
    <w:rsid w:val="00DC7D60"/>
    <w:rsid w:val="00DE1084"/>
    <w:rsid w:val="00E10D99"/>
    <w:rsid w:val="00E343A0"/>
    <w:rsid w:val="00E57B13"/>
    <w:rsid w:val="00E63BD9"/>
    <w:rsid w:val="00EC1ECD"/>
    <w:rsid w:val="00EC4C4A"/>
    <w:rsid w:val="00F20A31"/>
    <w:rsid w:val="00F227F6"/>
    <w:rsid w:val="00F33FD7"/>
    <w:rsid w:val="00F36615"/>
    <w:rsid w:val="00F4780E"/>
    <w:rsid w:val="00F54D12"/>
    <w:rsid w:val="00FC01A0"/>
    <w:rsid w:val="00FE09C1"/>
    <w:rsid w:val="00FF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E3"/>
  </w:style>
  <w:style w:type="paragraph" w:styleId="Heading1">
    <w:name w:val="heading 1"/>
    <w:basedOn w:val="Normal"/>
    <w:link w:val="Heading1Char"/>
    <w:uiPriority w:val="9"/>
    <w:qFormat/>
    <w:rsid w:val="00821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F51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B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DE2"/>
    <w:pPr>
      <w:ind w:left="720"/>
      <w:contextualSpacing/>
    </w:pPr>
  </w:style>
  <w:style w:type="paragraph" w:styleId="FootnoteText">
    <w:name w:val="footnote text"/>
    <w:basedOn w:val="Normal"/>
    <w:link w:val="FootnoteTextChar"/>
    <w:uiPriority w:val="99"/>
    <w:semiHidden/>
    <w:unhideWhenUsed/>
    <w:rsid w:val="00720522"/>
    <w:pPr>
      <w:spacing w:line="240" w:lineRule="auto"/>
    </w:pPr>
    <w:rPr>
      <w:sz w:val="20"/>
      <w:szCs w:val="20"/>
    </w:rPr>
  </w:style>
  <w:style w:type="character" w:customStyle="1" w:styleId="FootnoteTextChar">
    <w:name w:val="Footnote Text Char"/>
    <w:basedOn w:val="DefaultParagraphFont"/>
    <w:link w:val="FootnoteText"/>
    <w:uiPriority w:val="99"/>
    <w:semiHidden/>
    <w:rsid w:val="00720522"/>
    <w:rPr>
      <w:sz w:val="20"/>
      <w:szCs w:val="20"/>
    </w:rPr>
  </w:style>
  <w:style w:type="character" w:styleId="FootnoteReference">
    <w:name w:val="footnote reference"/>
    <w:basedOn w:val="DefaultParagraphFont"/>
    <w:uiPriority w:val="99"/>
    <w:semiHidden/>
    <w:unhideWhenUsed/>
    <w:rsid w:val="00720522"/>
    <w:rPr>
      <w:vertAlign w:val="superscript"/>
    </w:rPr>
  </w:style>
  <w:style w:type="paragraph" w:styleId="EndnoteText">
    <w:name w:val="endnote text"/>
    <w:basedOn w:val="Normal"/>
    <w:link w:val="EndnoteTextChar"/>
    <w:uiPriority w:val="99"/>
    <w:semiHidden/>
    <w:unhideWhenUsed/>
    <w:rsid w:val="00105C2A"/>
    <w:pPr>
      <w:spacing w:line="240" w:lineRule="auto"/>
    </w:pPr>
    <w:rPr>
      <w:sz w:val="20"/>
      <w:szCs w:val="20"/>
    </w:rPr>
  </w:style>
  <w:style w:type="character" w:customStyle="1" w:styleId="EndnoteTextChar">
    <w:name w:val="Endnote Text Char"/>
    <w:basedOn w:val="DefaultParagraphFont"/>
    <w:link w:val="EndnoteText"/>
    <w:uiPriority w:val="99"/>
    <w:semiHidden/>
    <w:rsid w:val="00105C2A"/>
    <w:rPr>
      <w:sz w:val="20"/>
      <w:szCs w:val="20"/>
    </w:rPr>
  </w:style>
  <w:style w:type="character" w:styleId="EndnoteReference">
    <w:name w:val="endnote reference"/>
    <w:basedOn w:val="DefaultParagraphFont"/>
    <w:uiPriority w:val="99"/>
    <w:semiHidden/>
    <w:unhideWhenUsed/>
    <w:rsid w:val="00105C2A"/>
    <w:rPr>
      <w:vertAlign w:val="superscript"/>
    </w:rPr>
  </w:style>
  <w:style w:type="character" w:customStyle="1" w:styleId="Heading1Char">
    <w:name w:val="Heading 1 Char"/>
    <w:basedOn w:val="DefaultParagraphFont"/>
    <w:link w:val="Heading1"/>
    <w:uiPriority w:val="9"/>
    <w:rsid w:val="0082152D"/>
    <w:rPr>
      <w:rFonts w:ascii="Times New Roman" w:eastAsia="Times New Roman" w:hAnsi="Times New Roman" w:cs="Times New Roman"/>
      <w:b/>
      <w:bCs/>
      <w:kern w:val="36"/>
      <w:sz w:val="48"/>
      <w:szCs w:val="48"/>
    </w:rPr>
  </w:style>
  <w:style w:type="character" w:customStyle="1" w:styleId="maintitle">
    <w:name w:val="maintitle"/>
    <w:basedOn w:val="DefaultParagraphFont"/>
    <w:rsid w:val="0082152D"/>
  </w:style>
  <w:style w:type="character" w:customStyle="1" w:styleId="Heading3Char">
    <w:name w:val="Heading 3 Char"/>
    <w:basedOn w:val="DefaultParagraphFont"/>
    <w:link w:val="Heading3"/>
    <w:uiPriority w:val="9"/>
    <w:rsid w:val="00461BF5"/>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461BF5"/>
    <w:rPr>
      <w:color w:val="0000FF"/>
      <w:u w:val="single"/>
    </w:rPr>
  </w:style>
  <w:style w:type="character" w:customStyle="1" w:styleId="apple-converted-space">
    <w:name w:val="apple-converted-space"/>
    <w:basedOn w:val="DefaultParagraphFont"/>
    <w:rsid w:val="00461BF5"/>
  </w:style>
  <w:style w:type="character" w:styleId="FollowedHyperlink">
    <w:name w:val="FollowedHyperlink"/>
    <w:basedOn w:val="DefaultParagraphFont"/>
    <w:uiPriority w:val="99"/>
    <w:semiHidden/>
    <w:unhideWhenUsed/>
    <w:rsid w:val="00461BF5"/>
    <w:rPr>
      <w:color w:val="800080" w:themeColor="followedHyperlink"/>
      <w:u w:val="single"/>
    </w:rPr>
  </w:style>
  <w:style w:type="character" w:customStyle="1" w:styleId="Heading2Char">
    <w:name w:val="Heading 2 Char"/>
    <w:basedOn w:val="DefaultParagraphFont"/>
    <w:link w:val="Heading2"/>
    <w:uiPriority w:val="9"/>
    <w:rsid w:val="006F5105"/>
    <w:rPr>
      <w:rFonts w:asciiTheme="majorHAnsi" w:eastAsiaTheme="majorEastAsia" w:hAnsiTheme="majorHAnsi" w:cstheme="majorBidi"/>
      <w:b/>
      <w:bCs/>
      <w:color w:val="4F81BD" w:themeColor="accent1"/>
      <w:sz w:val="26"/>
      <w:szCs w:val="26"/>
    </w:rPr>
  </w:style>
  <w:style w:type="paragraph" w:customStyle="1" w:styleId="articlecategory">
    <w:name w:val="articlecategory"/>
    <w:basedOn w:val="Normal"/>
    <w:rsid w:val="006F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6F51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1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05"/>
    <w:rPr>
      <w:rFonts w:ascii="Tahoma" w:hAnsi="Tahoma" w:cs="Tahoma"/>
      <w:sz w:val="16"/>
      <w:szCs w:val="16"/>
    </w:rPr>
  </w:style>
  <w:style w:type="paragraph" w:styleId="NormalWeb">
    <w:name w:val="Normal (Web)"/>
    <w:basedOn w:val="Normal"/>
    <w:unhideWhenUsed/>
    <w:rsid w:val="006F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6F5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issue">
    <w:name w:val="volissue"/>
    <w:basedOn w:val="Normal"/>
    <w:rsid w:val="00EC1E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4780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4780E"/>
  </w:style>
  <w:style w:type="paragraph" w:styleId="Footer">
    <w:name w:val="footer"/>
    <w:basedOn w:val="Normal"/>
    <w:link w:val="FooterChar"/>
    <w:uiPriority w:val="99"/>
    <w:semiHidden/>
    <w:unhideWhenUsed/>
    <w:rsid w:val="00F4780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4780E"/>
  </w:style>
  <w:style w:type="character" w:customStyle="1" w:styleId="fqfsectionheadtext1">
    <w:name w:val="fqfsectionheadtext1"/>
    <w:basedOn w:val="DefaultParagraphFont"/>
    <w:rsid w:val="00C2451F"/>
    <w:rPr>
      <w:b/>
      <w:bCs/>
      <w:color w:val="64522E"/>
      <w:sz w:val="18"/>
      <w:szCs w:val="18"/>
    </w:rPr>
  </w:style>
</w:styles>
</file>

<file path=word/webSettings.xml><?xml version="1.0" encoding="utf-8"?>
<w:webSettings xmlns:r="http://schemas.openxmlformats.org/officeDocument/2006/relationships" xmlns:w="http://schemas.openxmlformats.org/wordprocessingml/2006/main">
  <w:divs>
    <w:div w:id="90514186">
      <w:bodyDiv w:val="1"/>
      <w:marLeft w:val="0"/>
      <w:marRight w:val="0"/>
      <w:marTop w:val="0"/>
      <w:marBottom w:val="0"/>
      <w:divBdr>
        <w:top w:val="none" w:sz="0" w:space="0" w:color="auto"/>
        <w:left w:val="none" w:sz="0" w:space="0" w:color="auto"/>
        <w:bottom w:val="none" w:sz="0" w:space="0" w:color="auto"/>
        <w:right w:val="none" w:sz="0" w:space="0" w:color="auto"/>
      </w:divBdr>
      <w:divsChild>
        <w:div w:id="614674815">
          <w:marLeft w:val="0"/>
          <w:marRight w:val="0"/>
          <w:marTop w:val="0"/>
          <w:marBottom w:val="0"/>
          <w:divBdr>
            <w:top w:val="single" w:sz="18" w:space="6" w:color="E1E9EB"/>
            <w:left w:val="none" w:sz="0" w:space="0" w:color="auto"/>
            <w:bottom w:val="none" w:sz="0" w:space="0" w:color="auto"/>
            <w:right w:val="none" w:sz="0" w:space="0" w:color="auto"/>
          </w:divBdr>
        </w:div>
        <w:div w:id="438381491">
          <w:marLeft w:val="0"/>
          <w:marRight w:val="0"/>
          <w:marTop w:val="120"/>
          <w:marBottom w:val="0"/>
          <w:divBdr>
            <w:top w:val="none" w:sz="0" w:space="0" w:color="auto"/>
            <w:left w:val="none" w:sz="0" w:space="0" w:color="auto"/>
            <w:bottom w:val="none" w:sz="0" w:space="0" w:color="auto"/>
            <w:right w:val="none" w:sz="0" w:space="0" w:color="auto"/>
          </w:divBdr>
        </w:div>
      </w:divsChild>
    </w:div>
    <w:div w:id="188375169">
      <w:bodyDiv w:val="1"/>
      <w:marLeft w:val="0"/>
      <w:marRight w:val="0"/>
      <w:marTop w:val="0"/>
      <w:marBottom w:val="0"/>
      <w:divBdr>
        <w:top w:val="none" w:sz="0" w:space="0" w:color="auto"/>
        <w:left w:val="none" w:sz="0" w:space="0" w:color="auto"/>
        <w:bottom w:val="none" w:sz="0" w:space="0" w:color="auto"/>
        <w:right w:val="none" w:sz="0" w:space="0" w:color="auto"/>
      </w:divBdr>
      <w:divsChild>
        <w:div w:id="1563175025">
          <w:marLeft w:val="0"/>
          <w:marRight w:val="0"/>
          <w:marTop w:val="0"/>
          <w:marBottom w:val="0"/>
          <w:divBdr>
            <w:top w:val="none" w:sz="0" w:space="0" w:color="auto"/>
            <w:left w:val="none" w:sz="0" w:space="0" w:color="auto"/>
            <w:bottom w:val="none" w:sz="0" w:space="0" w:color="auto"/>
            <w:right w:val="none" w:sz="0" w:space="0" w:color="auto"/>
          </w:divBdr>
        </w:div>
      </w:divsChild>
    </w:div>
    <w:div w:id="516890196">
      <w:bodyDiv w:val="1"/>
      <w:marLeft w:val="0"/>
      <w:marRight w:val="0"/>
      <w:marTop w:val="0"/>
      <w:marBottom w:val="0"/>
      <w:divBdr>
        <w:top w:val="none" w:sz="0" w:space="0" w:color="auto"/>
        <w:left w:val="none" w:sz="0" w:space="0" w:color="auto"/>
        <w:bottom w:val="none" w:sz="0" w:space="0" w:color="auto"/>
        <w:right w:val="none" w:sz="0" w:space="0" w:color="auto"/>
      </w:divBdr>
      <w:divsChild>
        <w:div w:id="1351296421">
          <w:marLeft w:val="0"/>
          <w:marRight w:val="0"/>
          <w:marTop w:val="0"/>
          <w:marBottom w:val="0"/>
          <w:divBdr>
            <w:top w:val="single" w:sz="18" w:space="6" w:color="E1E9EB"/>
            <w:left w:val="none" w:sz="0" w:space="0" w:color="auto"/>
            <w:bottom w:val="none" w:sz="0" w:space="0" w:color="auto"/>
            <w:right w:val="none" w:sz="0" w:space="0" w:color="auto"/>
          </w:divBdr>
        </w:div>
        <w:div w:id="2091653085">
          <w:marLeft w:val="0"/>
          <w:marRight w:val="0"/>
          <w:marTop w:val="120"/>
          <w:marBottom w:val="0"/>
          <w:divBdr>
            <w:top w:val="none" w:sz="0" w:space="0" w:color="auto"/>
            <w:left w:val="none" w:sz="0" w:space="0" w:color="auto"/>
            <w:bottom w:val="none" w:sz="0" w:space="0" w:color="auto"/>
            <w:right w:val="none" w:sz="0" w:space="0" w:color="auto"/>
          </w:divBdr>
        </w:div>
        <w:div w:id="1485899527">
          <w:marLeft w:val="240"/>
          <w:marRight w:val="0"/>
          <w:marTop w:val="288"/>
          <w:marBottom w:val="0"/>
          <w:divBdr>
            <w:top w:val="single" w:sz="18" w:space="6" w:color="E1E9EB"/>
            <w:left w:val="none" w:sz="0" w:space="0" w:color="auto"/>
            <w:bottom w:val="none" w:sz="0" w:space="0" w:color="auto"/>
            <w:right w:val="none" w:sz="0" w:space="0" w:color="auto"/>
          </w:divBdr>
          <w:divsChild>
            <w:div w:id="1126392625">
              <w:marLeft w:val="0"/>
              <w:marRight w:val="240"/>
              <w:marTop w:val="120"/>
              <w:marBottom w:val="0"/>
              <w:divBdr>
                <w:top w:val="none" w:sz="0" w:space="0" w:color="auto"/>
                <w:left w:val="none" w:sz="0" w:space="0" w:color="auto"/>
                <w:bottom w:val="none" w:sz="0" w:space="0" w:color="auto"/>
                <w:right w:val="none" w:sz="0" w:space="0" w:color="auto"/>
              </w:divBdr>
              <w:divsChild>
                <w:div w:id="1967421423">
                  <w:marLeft w:val="52"/>
                  <w:marRight w:val="0"/>
                  <w:marTop w:val="52"/>
                  <w:marBottom w:val="360"/>
                  <w:divBdr>
                    <w:top w:val="none" w:sz="0" w:space="0" w:color="auto"/>
                    <w:left w:val="none" w:sz="0" w:space="0" w:color="auto"/>
                    <w:bottom w:val="none" w:sz="0" w:space="0" w:color="auto"/>
                    <w:right w:val="none" w:sz="0" w:space="0" w:color="auto"/>
                  </w:divBdr>
                </w:div>
              </w:divsChild>
            </w:div>
            <w:div w:id="1719355299">
              <w:marLeft w:val="0"/>
              <w:marRight w:val="0"/>
              <w:marTop w:val="120"/>
              <w:marBottom w:val="0"/>
              <w:divBdr>
                <w:top w:val="none" w:sz="0" w:space="0" w:color="auto"/>
                <w:left w:val="none" w:sz="0" w:space="0" w:color="auto"/>
                <w:bottom w:val="none" w:sz="0" w:space="0" w:color="auto"/>
                <w:right w:val="none" w:sz="0" w:space="0" w:color="auto"/>
              </w:divBdr>
              <w:divsChild>
                <w:div w:id="1228192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7211247">
      <w:bodyDiv w:val="1"/>
      <w:marLeft w:val="0"/>
      <w:marRight w:val="0"/>
      <w:marTop w:val="0"/>
      <w:marBottom w:val="0"/>
      <w:divBdr>
        <w:top w:val="none" w:sz="0" w:space="0" w:color="auto"/>
        <w:left w:val="none" w:sz="0" w:space="0" w:color="auto"/>
        <w:bottom w:val="none" w:sz="0" w:space="0" w:color="auto"/>
        <w:right w:val="none" w:sz="0" w:space="0" w:color="auto"/>
      </w:divBdr>
      <w:divsChild>
        <w:div w:id="843783361">
          <w:marLeft w:val="0"/>
          <w:marRight w:val="0"/>
          <w:marTop w:val="0"/>
          <w:marBottom w:val="0"/>
          <w:divBdr>
            <w:top w:val="none" w:sz="0" w:space="0" w:color="auto"/>
            <w:left w:val="none" w:sz="0" w:space="0" w:color="auto"/>
            <w:bottom w:val="none" w:sz="0" w:space="0" w:color="auto"/>
            <w:right w:val="none" w:sz="0" w:space="0" w:color="auto"/>
          </w:divBdr>
        </w:div>
      </w:divsChild>
    </w:div>
    <w:div w:id="766466256">
      <w:bodyDiv w:val="1"/>
      <w:marLeft w:val="0"/>
      <w:marRight w:val="0"/>
      <w:marTop w:val="0"/>
      <w:marBottom w:val="0"/>
      <w:divBdr>
        <w:top w:val="none" w:sz="0" w:space="0" w:color="auto"/>
        <w:left w:val="none" w:sz="0" w:space="0" w:color="auto"/>
        <w:bottom w:val="none" w:sz="0" w:space="0" w:color="auto"/>
        <w:right w:val="none" w:sz="0" w:space="0" w:color="auto"/>
      </w:divBdr>
      <w:divsChild>
        <w:div w:id="1447458714">
          <w:marLeft w:val="0"/>
          <w:marRight w:val="0"/>
          <w:marTop w:val="0"/>
          <w:marBottom w:val="0"/>
          <w:divBdr>
            <w:top w:val="single" w:sz="18" w:space="6" w:color="E1E9EB"/>
            <w:left w:val="none" w:sz="0" w:space="0" w:color="auto"/>
            <w:bottom w:val="none" w:sz="0" w:space="0" w:color="auto"/>
            <w:right w:val="none" w:sz="0" w:space="0" w:color="auto"/>
          </w:divBdr>
        </w:div>
        <w:div w:id="991449229">
          <w:marLeft w:val="0"/>
          <w:marRight w:val="0"/>
          <w:marTop w:val="120"/>
          <w:marBottom w:val="0"/>
          <w:divBdr>
            <w:top w:val="none" w:sz="0" w:space="0" w:color="auto"/>
            <w:left w:val="none" w:sz="0" w:space="0" w:color="auto"/>
            <w:bottom w:val="none" w:sz="0" w:space="0" w:color="auto"/>
            <w:right w:val="none" w:sz="0" w:space="0" w:color="auto"/>
          </w:divBdr>
        </w:div>
        <w:div w:id="458770481">
          <w:marLeft w:val="240"/>
          <w:marRight w:val="0"/>
          <w:marTop w:val="288"/>
          <w:marBottom w:val="0"/>
          <w:divBdr>
            <w:top w:val="single" w:sz="18" w:space="6" w:color="E1E9EB"/>
            <w:left w:val="none" w:sz="0" w:space="0" w:color="auto"/>
            <w:bottom w:val="none" w:sz="0" w:space="0" w:color="auto"/>
            <w:right w:val="none" w:sz="0" w:space="0" w:color="auto"/>
          </w:divBdr>
          <w:divsChild>
            <w:div w:id="1490634077">
              <w:marLeft w:val="0"/>
              <w:marRight w:val="240"/>
              <w:marTop w:val="120"/>
              <w:marBottom w:val="0"/>
              <w:divBdr>
                <w:top w:val="none" w:sz="0" w:space="0" w:color="auto"/>
                <w:left w:val="none" w:sz="0" w:space="0" w:color="auto"/>
                <w:bottom w:val="none" w:sz="0" w:space="0" w:color="auto"/>
                <w:right w:val="none" w:sz="0" w:space="0" w:color="auto"/>
              </w:divBdr>
              <w:divsChild>
                <w:div w:id="1578126524">
                  <w:marLeft w:val="52"/>
                  <w:marRight w:val="0"/>
                  <w:marTop w:val="52"/>
                  <w:marBottom w:val="360"/>
                  <w:divBdr>
                    <w:top w:val="none" w:sz="0" w:space="0" w:color="auto"/>
                    <w:left w:val="none" w:sz="0" w:space="0" w:color="auto"/>
                    <w:bottom w:val="none" w:sz="0" w:space="0" w:color="auto"/>
                    <w:right w:val="none" w:sz="0" w:space="0" w:color="auto"/>
                  </w:divBdr>
                </w:div>
              </w:divsChild>
            </w:div>
            <w:div w:id="832184399">
              <w:marLeft w:val="0"/>
              <w:marRight w:val="0"/>
              <w:marTop w:val="120"/>
              <w:marBottom w:val="0"/>
              <w:divBdr>
                <w:top w:val="none" w:sz="0" w:space="0" w:color="auto"/>
                <w:left w:val="none" w:sz="0" w:space="0" w:color="auto"/>
                <w:bottom w:val="none" w:sz="0" w:space="0" w:color="auto"/>
                <w:right w:val="none" w:sz="0" w:space="0" w:color="auto"/>
              </w:divBdr>
              <w:divsChild>
                <w:div w:id="333189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7598329">
      <w:bodyDiv w:val="1"/>
      <w:marLeft w:val="0"/>
      <w:marRight w:val="0"/>
      <w:marTop w:val="0"/>
      <w:marBottom w:val="0"/>
      <w:divBdr>
        <w:top w:val="none" w:sz="0" w:space="0" w:color="auto"/>
        <w:left w:val="none" w:sz="0" w:space="0" w:color="auto"/>
        <w:bottom w:val="none" w:sz="0" w:space="0" w:color="auto"/>
        <w:right w:val="none" w:sz="0" w:space="0" w:color="auto"/>
      </w:divBdr>
      <w:divsChild>
        <w:div w:id="382943494">
          <w:marLeft w:val="0"/>
          <w:marRight w:val="0"/>
          <w:marTop w:val="0"/>
          <w:marBottom w:val="219"/>
          <w:divBdr>
            <w:top w:val="single" w:sz="4" w:space="0" w:color="D7D7D7"/>
            <w:left w:val="none" w:sz="0" w:space="0" w:color="auto"/>
            <w:bottom w:val="single" w:sz="4" w:space="0" w:color="D7D7D7"/>
            <w:right w:val="none" w:sz="0" w:space="0" w:color="auto"/>
          </w:divBdr>
          <w:divsChild>
            <w:div w:id="1769232068">
              <w:marLeft w:val="0"/>
              <w:marRight w:val="0"/>
              <w:marTop w:val="0"/>
              <w:marBottom w:val="0"/>
              <w:divBdr>
                <w:top w:val="none" w:sz="0" w:space="0" w:color="auto"/>
                <w:left w:val="none" w:sz="0" w:space="0" w:color="auto"/>
                <w:bottom w:val="none" w:sz="0" w:space="0" w:color="auto"/>
                <w:right w:val="none" w:sz="0" w:space="0" w:color="auto"/>
              </w:divBdr>
            </w:div>
            <w:div w:id="11985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3230">
      <w:bodyDiv w:val="1"/>
      <w:marLeft w:val="0"/>
      <w:marRight w:val="0"/>
      <w:marTop w:val="0"/>
      <w:marBottom w:val="0"/>
      <w:divBdr>
        <w:top w:val="none" w:sz="0" w:space="0" w:color="auto"/>
        <w:left w:val="none" w:sz="0" w:space="0" w:color="auto"/>
        <w:bottom w:val="none" w:sz="0" w:space="0" w:color="auto"/>
        <w:right w:val="none" w:sz="0" w:space="0" w:color="auto"/>
      </w:divBdr>
      <w:divsChild>
        <w:div w:id="1927109080">
          <w:marLeft w:val="0"/>
          <w:marRight w:val="0"/>
          <w:marTop w:val="0"/>
          <w:marBottom w:val="0"/>
          <w:divBdr>
            <w:top w:val="single" w:sz="18" w:space="6" w:color="E1E9EB"/>
            <w:left w:val="none" w:sz="0" w:space="0" w:color="auto"/>
            <w:bottom w:val="none" w:sz="0" w:space="0" w:color="auto"/>
            <w:right w:val="none" w:sz="0" w:space="0" w:color="auto"/>
          </w:divBdr>
        </w:div>
        <w:div w:id="813569726">
          <w:marLeft w:val="0"/>
          <w:marRight w:val="0"/>
          <w:marTop w:val="120"/>
          <w:marBottom w:val="0"/>
          <w:divBdr>
            <w:top w:val="none" w:sz="0" w:space="0" w:color="auto"/>
            <w:left w:val="none" w:sz="0" w:space="0" w:color="auto"/>
            <w:bottom w:val="none" w:sz="0" w:space="0" w:color="auto"/>
            <w:right w:val="none" w:sz="0" w:space="0" w:color="auto"/>
          </w:divBdr>
        </w:div>
        <w:div w:id="319500496">
          <w:marLeft w:val="240"/>
          <w:marRight w:val="0"/>
          <w:marTop w:val="288"/>
          <w:marBottom w:val="0"/>
          <w:divBdr>
            <w:top w:val="single" w:sz="18" w:space="6" w:color="E1E9EB"/>
            <w:left w:val="none" w:sz="0" w:space="0" w:color="auto"/>
            <w:bottom w:val="none" w:sz="0" w:space="0" w:color="auto"/>
            <w:right w:val="none" w:sz="0" w:space="0" w:color="auto"/>
          </w:divBdr>
          <w:divsChild>
            <w:div w:id="1391733810">
              <w:marLeft w:val="0"/>
              <w:marRight w:val="240"/>
              <w:marTop w:val="120"/>
              <w:marBottom w:val="0"/>
              <w:divBdr>
                <w:top w:val="none" w:sz="0" w:space="0" w:color="auto"/>
                <w:left w:val="none" w:sz="0" w:space="0" w:color="auto"/>
                <w:bottom w:val="none" w:sz="0" w:space="0" w:color="auto"/>
                <w:right w:val="none" w:sz="0" w:space="0" w:color="auto"/>
              </w:divBdr>
              <w:divsChild>
                <w:div w:id="59137586">
                  <w:marLeft w:val="52"/>
                  <w:marRight w:val="0"/>
                  <w:marTop w:val="52"/>
                  <w:marBottom w:val="360"/>
                  <w:divBdr>
                    <w:top w:val="none" w:sz="0" w:space="0" w:color="auto"/>
                    <w:left w:val="none" w:sz="0" w:space="0" w:color="auto"/>
                    <w:bottom w:val="none" w:sz="0" w:space="0" w:color="auto"/>
                    <w:right w:val="none" w:sz="0" w:space="0" w:color="auto"/>
                  </w:divBdr>
                </w:div>
              </w:divsChild>
            </w:div>
            <w:div w:id="626013008">
              <w:marLeft w:val="0"/>
              <w:marRight w:val="0"/>
              <w:marTop w:val="120"/>
              <w:marBottom w:val="0"/>
              <w:divBdr>
                <w:top w:val="none" w:sz="0" w:space="0" w:color="auto"/>
                <w:left w:val="none" w:sz="0" w:space="0" w:color="auto"/>
                <w:bottom w:val="none" w:sz="0" w:space="0" w:color="auto"/>
                <w:right w:val="none" w:sz="0" w:space="0" w:color="auto"/>
              </w:divBdr>
              <w:divsChild>
                <w:div w:id="408239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2710596">
      <w:bodyDiv w:val="1"/>
      <w:marLeft w:val="0"/>
      <w:marRight w:val="0"/>
      <w:marTop w:val="0"/>
      <w:marBottom w:val="0"/>
      <w:divBdr>
        <w:top w:val="none" w:sz="0" w:space="0" w:color="auto"/>
        <w:left w:val="none" w:sz="0" w:space="0" w:color="auto"/>
        <w:bottom w:val="none" w:sz="0" w:space="0" w:color="auto"/>
        <w:right w:val="none" w:sz="0" w:space="0" w:color="auto"/>
      </w:divBdr>
      <w:divsChild>
        <w:div w:id="2046756193">
          <w:marLeft w:val="0"/>
          <w:marRight w:val="0"/>
          <w:marTop w:val="0"/>
          <w:marBottom w:val="0"/>
          <w:divBdr>
            <w:top w:val="none" w:sz="0" w:space="0" w:color="auto"/>
            <w:left w:val="none" w:sz="0" w:space="0" w:color="auto"/>
            <w:bottom w:val="none" w:sz="0" w:space="0" w:color="auto"/>
            <w:right w:val="none" w:sz="0" w:space="0" w:color="auto"/>
          </w:divBdr>
        </w:div>
      </w:divsChild>
    </w:div>
    <w:div w:id="1708263250">
      <w:bodyDiv w:val="1"/>
      <w:marLeft w:val="0"/>
      <w:marRight w:val="0"/>
      <w:marTop w:val="0"/>
      <w:marBottom w:val="0"/>
      <w:divBdr>
        <w:top w:val="none" w:sz="0" w:space="0" w:color="auto"/>
        <w:left w:val="none" w:sz="0" w:space="0" w:color="auto"/>
        <w:bottom w:val="none" w:sz="0" w:space="0" w:color="auto"/>
        <w:right w:val="none" w:sz="0" w:space="0" w:color="auto"/>
      </w:divBdr>
      <w:divsChild>
        <w:div w:id="976687211">
          <w:marLeft w:val="0"/>
          <w:marRight w:val="0"/>
          <w:marTop w:val="0"/>
          <w:marBottom w:val="0"/>
          <w:divBdr>
            <w:top w:val="none" w:sz="0" w:space="0" w:color="auto"/>
            <w:left w:val="none" w:sz="0" w:space="0" w:color="auto"/>
            <w:bottom w:val="none" w:sz="0" w:space="0" w:color="auto"/>
            <w:right w:val="none" w:sz="0" w:space="0" w:color="auto"/>
          </w:divBdr>
        </w:div>
      </w:divsChild>
    </w:div>
    <w:div w:id="2014064701">
      <w:bodyDiv w:val="1"/>
      <w:marLeft w:val="0"/>
      <w:marRight w:val="0"/>
      <w:marTop w:val="0"/>
      <w:marBottom w:val="0"/>
      <w:divBdr>
        <w:top w:val="none" w:sz="0" w:space="0" w:color="auto"/>
        <w:left w:val="none" w:sz="0" w:space="0" w:color="auto"/>
        <w:bottom w:val="none" w:sz="0" w:space="0" w:color="auto"/>
        <w:right w:val="none" w:sz="0" w:space="0" w:color="auto"/>
      </w:divBdr>
      <w:divsChild>
        <w:div w:id="1256087953">
          <w:marLeft w:val="0"/>
          <w:marRight w:val="240"/>
          <w:marTop w:val="120"/>
          <w:marBottom w:val="0"/>
          <w:divBdr>
            <w:top w:val="none" w:sz="0" w:space="0" w:color="auto"/>
            <w:left w:val="none" w:sz="0" w:space="0" w:color="auto"/>
            <w:bottom w:val="none" w:sz="0" w:space="0" w:color="auto"/>
            <w:right w:val="none" w:sz="0" w:space="0" w:color="auto"/>
          </w:divBdr>
          <w:divsChild>
            <w:div w:id="749236053">
              <w:marLeft w:val="52"/>
              <w:marRight w:val="0"/>
              <w:marTop w:val="52"/>
              <w:marBottom w:val="360"/>
              <w:divBdr>
                <w:top w:val="none" w:sz="0" w:space="0" w:color="auto"/>
                <w:left w:val="none" w:sz="0" w:space="0" w:color="auto"/>
                <w:bottom w:val="none" w:sz="0" w:space="0" w:color="auto"/>
                <w:right w:val="none" w:sz="0" w:space="0" w:color="auto"/>
              </w:divBdr>
            </w:div>
          </w:divsChild>
        </w:div>
        <w:div w:id="182986618">
          <w:marLeft w:val="0"/>
          <w:marRight w:val="0"/>
          <w:marTop w:val="120"/>
          <w:marBottom w:val="0"/>
          <w:divBdr>
            <w:top w:val="none" w:sz="0" w:space="0" w:color="auto"/>
            <w:left w:val="none" w:sz="0" w:space="0" w:color="auto"/>
            <w:bottom w:val="none" w:sz="0" w:space="0" w:color="auto"/>
            <w:right w:val="none" w:sz="0" w:space="0" w:color="auto"/>
          </w:divBdr>
          <w:divsChild>
            <w:div w:id="5984123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eas.repec.org/a/bla/jfnres/v17y1994i1p65-75.html" TargetMode="External"/><Relationship Id="rId18" Type="http://schemas.openxmlformats.org/officeDocument/2006/relationships/hyperlink" Target="http://scholar.google.com/citations?user=c4t2L3MAAAAJ&amp;hl=en&amp;oi=s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direct.com/science/journal/0304405X" TargetMode="External"/><Relationship Id="rId17" Type="http://schemas.openxmlformats.org/officeDocument/2006/relationships/hyperlink" Target="http://ideas.repec.org/s/eee/finser.html" TargetMode="External"/><Relationship Id="rId2" Type="http://schemas.openxmlformats.org/officeDocument/2006/relationships/numbering" Target="numbering.xml"/><Relationship Id="rId16" Type="http://schemas.openxmlformats.org/officeDocument/2006/relationships/hyperlink" Target="http://ideas.repec.org/a/eee/finser/v7y1998i2p83-9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qje.oxfordjournals.org/content/111/4/1135.short" TargetMode="External"/><Relationship Id="rId10" Type="http://schemas.openxmlformats.org/officeDocument/2006/relationships/hyperlink" Target="http://www.etfconnect.com/select/fundpages/other.asp?MFID=126102" TargetMode="External"/><Relationship Id="rId19" Type="http://schemas.openxmlformats.org/officeDocument/2006/relationships/hyperlink" Target="http://www.jstor.org/stable/10.2307/36656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nlinelibrary.wiley.com/doi/10.1111/j.1540-6261.1977.tb01993.x/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04C77-071B-43A9-813D-C4238D53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jsmerc01</dc:creator>
  <cp:keywords/>
  <dc:description/>
  <cp:lastModifiedBy>jsmerc01</cp:lastModifiedBy>
  <cp:revision>2</cp:revision>
  <dcterms:created xsi:type="dcterms:W3CDTF">2014-09-25T19:47:00Z</dcterms:created>
  <dcterms:modified xsi:type="dcterms:W3CDTF">2014-09-25T19:47:00Z</dcterms:modified>
</cp:coreProperties>
</file>