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67" w:rsidRDefault="00FA24BF" w:rsidP="00FA24BF">
      <w:pPr>
        <w:spacing w:line="360" w:lineRule="auto"/>
        <w:jc w:val="center"/>
        <w:rPr>
          <w:b/>
          <w:sz w:val="28"/>
          <w:szCs w:val="28"/>
        </w:rPr>
      </w:pPr>
      <w:r w:rsidRPr="00FA24BF">
        <w:rPr>
          <w:b/>
          <w:sz w:val="28"/>
          <w:szCs w:val="28"/>
        </w:rPr>
        <w:t xml:space="preserve">What </w:t>
      </w:r>
      <w:r w:rsidR="005D377F">
        <w:rPr>
          <w:b/>
          <w:sz w:val="28"/>
          <w:szCs w:val="28"/>
        </w:rPr>
        <w:t>is the “True” AEI of a Stallion?</w:t>
      </w:r>
    </w:p>
    <w:p w:rsidR="005D377F" w:rsidRDefault="005D377F" w:rsidP="00FA24BF">
      <w:pPr>
        <w:spacing w:line="360" w:lineRule="auto"/>
        <w:jc w:val="center"/>
        <w:rPr>
          <w:b/>
          <w:sz w:val="28"/>
          <w:szCs w:val="28"/>
        </w:rPr>
      </w:pPr>
      <w:r>
        <w:rPr>
          <w:b/>
          <w:sz w:val="28"/>
          <w:szCs w:val="28"/>
        </w:rPr>
        <w:t>Summary Version</w:t>
      </w:r>
    </w:p>
    <w:p w:rsidR="009217E0" w:rsidRDefault="009217E0" w:rsidP="00FA24BF">
      <w:pPr>
        <w:spacing w:line="360" w:lineRule="auto"/>
        <w:jc w:val="center"/>
        <w:rPr>
          <w:b/>
          <w:sz w:val="28"/>
          <w:szCs w:val="28"/>
        </w:rPr>
      </w:pPr>
      <w:proofErr w:type="gramStart"/>
      <w:r>
        <w:rPr>
          <w:b/>
          <w:sz w:val="28"/>
          <w:szCs w:val="28"/>
        </w:rPr>
        <w:t xml:space="preserve">©2016, Robert L. </w:t>
      </w:r>
      <w:proofErr w:type="spellStart"/>
      <w:r>
        <w:rPr>
          <w:b/>
          <w:sz w:val="28"/>
          <w:szCs w:val="28"/>
        </w:rPr>
        <w:t>Losey</w:t>
      </w:r>
      <w:proofErr w:type="spellEnd"/>
      <w:r>
        <w:rPr>
          <w:b/>
          <w:sz w:val="28"/>
          <w:szCs w:val="28"/>
        </w:rPr>
        <w:t>, Ph.D.</w:t>
      </w:r>
      <w:proofErr w:type="gramEnd"/>
    </w:p>
    <w:p w:rsidR="009217E0" w:rsidRPr="009217E0" w:rsidRDefault="005D377F" w:rsidP="005D377F">
      <w:pPr>
        <w:jc w:val="center"/>
        <w:rPr>
          <w:b/>
          <w:sz w:val="24"/>
          <w:szCs w:val="24"/>
        </w:rPr>
      </w:pPr>
      <w:r>
        <w:rPr>
          <w:b/>
          <w:sz w:val="24"/>
          <w:szCs w:val="24"/>
        </w:rPr>
        <w:t>This paper m</w:t>
      </w:r>
      <w:r w:rsidR="009217E0" w:rsidRPr="009217E0">
        <w:rPr>
          <w:b/>
          <w:sz w:val="24"/>
          <w:szCs w:val="24"/>
        </w:rPr>
        <w:t xml:space="preserve">ay be quoted </w:t>
      </w:r>
      <w:r>
        <w:rPr>
          <w:b/>
          <w:sz w:val="24"/>
          <w:szCs w:val="24"/>
        </w:rPr>
        <w:t xml:space="preserve">only </w:t>
      </w:r>
      <w:r w:rsidR="009217E0" w:rsidRPr="009217E0">
        <w:rPr>
          <w:b/>
          <w:sz w:val="24"/>
          <w:szCs w:val="24"/>
        </w:rPr>
        <w:t>with author attribution</w:t>
      </w:r>
      <w:r w:rsidR="00557C8A">
        <w:rPr>
          <w:b/>
          <w:sz w:val="24"/>
          <w:szCs w:val="24"/>
        </w:rPr>
        <w:t>.</w:t>
      </w:r>
      <w:r>
        <w:rPr>
          <w:b/>
          <w:sz w:val="24"/>
          <w:szCs w:val="24"/>
        </w:rPr>
        <w:t xml:space="preserve"> </w:t>
      </w:r>
      <w:r w:rsidR="00557C8A">
        <w:rPr>
          <w:b/>
          <w:sz w:val="24"/>
          <w:szCs w:val="24"/>
        </w:rPr>
        <w:t xml:space="preserve"> </w:t>
      </w:r>
      <w:r>
        <w:rPr>
          <w:b/>
          <w:sz w:val="24"/>
          <w:szCs w:val="24"/>
        </w:rPr>
        <w:t xml:space="preserve">Thanks to Steve Koch and Chris Clay </w:t>
      </w:r>
      <w:r w:rsidR="00243228">
        <w:rPr>
          <w:b/>
          <w:sz w:val="24"/>
          <w:szCs w:val="24"/>
        </w:rPr>
        <w:t>for their helpful suggestions</w:t>
      </w:r>
      <w:r>
        <w:rPr>
          <w:b/>
          <w:sz w:val="24"/>
          <w:szCs w:val="24"/>
        </w:rPr>
        <w:t xml:space="preserve"> and </w:t>
      </w:r>
      <w:r w:rsidR="00081F6A">
        <w:rPr>
          <w:b/>
          <w:sz w:val="24"/>
          <w:szCs w:val="24"/>
        </w:rPr>
        <w:t xml:space="preserve">to </w:t>
      </w:r>
      <w:r>
        <w:rPr>
          <w:b/>
          <w:sz w:val="24"/>
          <w:szCs w:val="24"/>
        </w:rPr>
        <w:t>The Blood-Horse for providing data.</w:t>
      </w:r>
    </w:p>
    <w:p w:rsidR="00FA24BF" w:rsidRPr="00F615A0" w:rsidRDefault="00FA24BF" w:rsidP="00041467">
      <w:pPr>
        <w:spacing w:line="360" w:lineRule="auto"/>
        <w:rPr>
          <w:sz w:val="24"/>
          <w:highlight w:val="lightGray"/>
        </w:rPr>
      </w:pPr>
    </w:p>
    <w:p w:rsidR="00557C8A" w:rsidRDefault="00041467" w:rsidP="00557C8A">
      <w:pPr>
        <w:pStyle w:val="BodyText"/>
        <w:ind w:right="-270"/>
      </w:pPr>
      <w:r w:rsidRPr="00041467">
        <w:rPr>
          <w:b w:val="0"/>
        </w:rPr>
        <w:tab/>
      </w:r>
      <w:r w:rsidRPr="00041467">
        <w:rPr>
          <w:b w:val="0"/>
        </w:rPr>
        <w:tab/>
      </w:r>
      <w:r w:rsidRPr="00041467">
        <w:t>DIAGRAM 1</w:t>
      </w:r>
      <w:r w:rsidR="00E47A5B">
        <w:t>: Observed AEI</w:t>
      </w:r>
      <w:r w:rsidR="00557C8A">
        <w:t>s</w:t>
      </w:r>
      <w:r w:rsidR="00E47A5B">
        <w:t xml:space="preserve"> of a Stallion </w:t>
      </w:r>
      <w:r w:rsidR="00557C8A">
        <w:t>from Mares Stratified</w:t>
      </w:r>
    </w:p>
    <w:p w:rsidR="00E47A5B" w:rsidRDefault="00557C8A" w:rsidP="00557C8A">
      <w:pPr>
        <w:pStyle w:val="BodyText"/>
        <w:ind w:left="1440" w:right="-270" w:firstLine="720"/>
      </w:pPr>
      <w:r>
        <w:t xml:space="preserve">             </w:t>
      </w:r>
      <w:proofErr w:type="gramStart"/>
      <w:r>
        <w:t>by</w:t>
      </w:r>
      <w:proofErr w:type="gramEnd"/>
      <w:r w:rsidR="00FA24BF">
        <w:t xml:space="preserve"> </w:t>
      </w:r>
      <w:r>
        <w:t xml:space="preserve">the CIs to Which the Stallion Was Bred </w:t>
      </w:r>
    </w:p>
    <w:p w:rsidR="00E47A5B" w:rsidRDefault="00E47A5B" w:rsidP="00041467">
      <w:pPr>
        <w:pStyle w:val="BodyText"/>
        <w:ind w:right="-270"/>
      </w:pPr>
    </w:p>
    <w:p w:rsidR="004C6BF9" w:rsidRPr="00041467" w:rsidRDefault="004C6BF9" w:rsidP="004C6BF9">
      <w:pPr>
        <w:pStyle w:val="BodyText"/>
        <w:ind w:right="-270"/>
      </w:pPr>
      <w:r>
        <w:t xml:space="preserve">  </w:t>
      </w:r>
    </w:p>
    <w:p w:rsidR="004C6BF9" w:rsidRPr="00041467" w:rsidRDefault="004C6BF9" w:rsidP="004C6BF9">
      <w:pPr>
        <w:pStyle w:val="BodyText"/>
        <w:ind w:right="-270"/>
        <w:rPr>
          <w:b w:val="0"/>
        </w:rPr>
      </w:pPr>
      <w:r w:rsidRPr="00041467">
        <w:rPr>
          <w:b w:val="0"/>
        </w:rPr>
        <w:t xml:space="preserve">    </w:t>
      </w:r>
      <w:r w:rsidRPr="00041467">
        <w:t>Stallion</w:t>
      </w:r>
      <w:proofErr w:type="gramStart"/>
      <w:r>
        <w:rPr>
          <w:b w:val="0"/>
        </w:rPr>
        <w:tab/>
      </w:r>
      <w:r>
        <w:rPr>
          <w:b w:val="0"/>
        </w:rPr>
        <w:tab/>
      </w:r>
      <w:r w:rsidRPr="00041467">
        <w:rPr>
          <w:b w:val="0"/>
        </w:rPr>
        <w:tab/>
      </w:r>
      <w:r w:rsidRPr="00041467">
        <w:rPr>
          <w:b w:val="0"/>
        </w:rPr>
        <w:tab/>
        <w:t xml:space="preserve">45 </w:t>
      </w:r>
      <w:r w:rsidRPr="00041467">
        <w:rPr>
          <w:b w:val="0"/>
        </w:rPr>
        <w:sym w:font="Symbol" w:char="F0B0"/>
      </w:r>
      <w:r w:rsidRPr="00041467">
        <w:rPr>
          <w:b w:val="0"/>
        </w:rPr>
        <w:tab/>
      </w:r>
      <w:r>
        <w:rPr>
          <w:b w:val="0"/>
        </w:rPr>
        <w:t xml:space="preserve">       </w:t>
      </w:r>
      <w:r w:rsidRPr="00041467">
        <w:rPr>
          <w:b w:val="0"/>
        </w:rPr>
        <w:t xml:space="preserve">     </w:t>
      </w:r>
      <w:r w:rsidRPr="00041467">
        <w:t>LEGEND</w:t>
      </w:r>
      <w:proofErr w:type="gramEnd"/>
    </w:p>
    <w:p w:rsidR="004C6BF9" w:rsidRPr="00041467" w:rsidRDefault="00AB71E3" w:rsidP="004C6BF9">
      <w:pPr>
        <w:ind w:left="360" w:right="-270"/>
        <w:rPr>
          <w:sz w:val="24"/>
        </w:rPr>
      </w:pPr>
      <w:r>
        <w:rPr>
          <w:noProof/>
          <w:sz w:val="24"/>
        </w:rPr>
        <w:pict>
          <v:shapetype id="_x0000_t32" coordsize="21600,21600" o:spt="32" o:oned="t" path="m,l21600,21600e" filled="f">
            <v:path arrowok="t" fillok="f" o:connecttype="none"/>
            <o:lock v:ext="edit" shapetype="t"/>
          </v:shapetype>
          <v:shape id="_x0000_s1076" type="#_x0000_t32" style="position:absolute;left:0;text-align:left;margin-left:39.6pt;margin-top:4.2pt;width:170.4pt;height:164.9pt;flip:y;z-index:251696128" o:connectortype="straight">
            <v:stroke endarrow="block"/>
          </v:shape>
        </w:pict>
      </w:r>
      <w:r>
        <w:rPr>
          <w:noProof/>
          <w:sz w:val="24"/>
        </w:rPr>
        <w:pict>
          <v:line id="_x0000_s1068" style="position:absolute;left:0;text-align:left;flip:y;z-index:251687936" from="255.6pt,4.2pt" to="270pt,18.6pt" o:allowincell="f">
            <v:stroke endarrow="block"/>
          </v:line>
        </w:pict>
      </w:r>
      <w:r w:rsidRPr="00AB71E3">
        <w:rPr>
          <w:b/>
          <w:noProof/>
          <w:sz w:val="24"/>
        </w:rPr>
        <w:pict>
          <v:line id="_x0000_s1067" style="position:absolute;left:0;text-align:left;z-index:251686912" from="39.6pt,11.4pt" to="39.6pt,169.8pt" o:allowincell="f"/>
        </w:pict>
      </w:r>
      <w:r w:rsidR="004C6BF9" w:rsidRPr="00041467">
        <w:rPr>
          <w:b/>
          <w:sz w:val="24"/>
        </w:rPr>
        <w:t>AEI</w:t>
      </w:r>
      <w:r w:rsidR="004C6BF9" w:rsidRPr="00041467">
        <w:rPr>
          <w:sz w:val="24"/>
        </w:rPr>
        <w:tab/>
      </w:r>
      <w:r w:rsidR="004C6BF9" w:rsidRPr="00041467">
        <w:rPr>
          <w:sz w:val="24"/>
        </w:rPr>
        <w:tab/>
      </w:r>
      <w:r w:rsidR="004C6BF9" w:rsidRPr="00041467">
        <w:rPr>
          <w:sz w:val="24"/>
        </w:rPr>
        <w:tab/>
      </w:r>
      <w:r w:rsidR="004C6BF9" w:rsidRPr="00041467">
        <w:rPr>
          <w:sz w:val="24"/>
        </w:rPr>
        <w:tab/>
      </w:r>
      <w:r w:rsidR="004C6BF9" w:rsidRPr="00041467">
        <w:rPr>
          <w:sz w:val="24"/>
        </w:rPr>
        <w:tab/>
      </w:r>
      <w:r w:rsidR="004C6BF9" w:rsidRPr="00041467">
        <w:rPr>
          <w:sz w:val="24"/>
        </w:rPr>
        <w:tab/>
      </w:r>
      <w:r w:rsidR="004C6BF9" w:rsidRPr="00041467">
        <w:rPr>
          <w:sz w:val="24"/>
        </w:rPr>
        <w:tab/>
      </w:r>
      <w:r w:rsidR="004C6BF9" w:rsidRPr="00041467">
        <w:rPr>
          <w:b/>
          <w:sz w:val="24"/>
        </w:rPr>
        <w:t xml:space="preserve">45 </w:t>
      </w:r>
      <w:r w:rsidR="004C6BF9" w:rsidRPr="00041467">
        <w:rPr>
          <w:b/>
          <w:sz w:val="24"/>
        </w:rPr>
        <w:sym w:font="Symbol" w:char="F0B0"/>
      </w:r>
      <w:r w:rsidR="004C6BF9" w:rsidRPr="00041467">
        <w:rPr>
          <w:b/>
          <w:sz w:val="24"/>
        </w:rPr>
        <w:t xml:space="preserve"> angle line</w:t>
      </w:r>
      <w:r w:rsidR="004C6BF9" w:rsidRPr="00041467">
        <w:rPr>
          <w:sz w:val="24"/>
        </w:rPr>
        <w:t xml:space="preserve">—Stallion </w:t>
      </w:r>
    </w:p>
    <w:p w:rsidR="004C6BF9" w:rsidRDefault="004C6BF9" w:rsidP="004C6BF9">
      <w:pPr>
        <w:pStyle w:val="BodyTextIndent3"/>
        <w:ind w:right="-270"/>
      </w:pPr>
      <w:proofErr w:type="gramStart"/>
      <w:r w:rsidRPr="00041467">
        <w:t>produces</w:t>
      </w:r>
      <w:proofErr w:type="gramEnd"/>
      <w:r w:rsidRPr="00041467">
        <w:t xml:space="preserve"> runners with same AEI as w</w:t>
      </w:r>
      <w:r>
        <w:t xml:space="preserve">hatever </w:t>
      </w:r>
    </w:p>
    <w:p w:rsidR="004C6BF9" w:rsidRPr="00041467" w:rsidRDefault="00AB71E3" w:rsidP="004C6BF9">
      <w:pPr>
        <w:pStyle w:val="BodyTextIndent3"/>
        <w:ind w:left="0" w:right="-270"/>
      </w:pPr>
      <w:r>
        <w:rPr>
          <w:noProof/>
        </w:rPr>
        <w:pict>
          <v:shape id="_x0000_s1079" type="#_x0000_t32" style="position:absolute;margin-left:195pt;margin-top:12.3pt;width:9.75pt;height:4.45pt;z-index:251699200" o:connectortype="straight">
            <v:stroke endarrow="block"/>
          </v:shape>
        </w:pict>
      </w:r>
      <w:r>
        <w:rPr>
          <w:noProof/>
        </w:rPr>
        <w:pict>
          <v:shape id="_x0000_s1074" type="#_x0000_t32" style="position:absolute;margin-left:217.5pt;margin-top:12.3pt;width:16.5pt;height:4.45pt;flip:y;z-index:251694080" o:connectortype="straight">
            <v:stroke endarrow="block"/>
          </v:shape>
        </w:pict>
      </w:r>
      <w:r w:rsidR="004C6BF9">
        <w:tab/>
      </w:r>
      <w:r w:rsidR="004C6BF9">
        <w:tab/>
      </w:r>
      <w:r w:rsidR="004C6BF9">
        <w:tab/>
      </w:r>
      <w:r w:rsidR="004C6BF9">
        <w:tab/>
      </w:r>
      <w:r w:rsidR="004C6BF9">
        <w:tab/>
        <w:t xml:space="preserve">   </w:t>
      </w:r>
      <w:r w:rsidR="004C6BF9">
        <w:rPr>
          <w:b/>
        </w:rPr>
        <w:t xml:space="preserve">.16 slope    </w:t>
      </w:r>
      <w:r w:rsidR="004C6BF9">
        <w:rPr>
          <w:b/>
        </w:rPr>
        <w:tab/>
      </w:r>
      <w:r w:rsidR="004C6BF9" w:rsidRPr="00041467">
        <w:t xml:space="preserve">mare it is bred to.        </w:t>
      </w:r>
    </w:p>
    <w:p w:rsidR="004C6BF9" w:rsidRPr="00041467" w:rsidRDefault="00AB71E3" w:rsidP="004C6BF9">
      <w:pPr>
        <w:ind w:right="-270"/>
        <w:rPr>
          <w:noProof/>
          <w:sz w:val="24"/>
        </w:rPr>
      </w:pPr>
      <w:r>
        <w:rPr>
          <w:noProof/>
          <w:sz w:val="24"/>
        </w:rPr>
        <w:pict>
          <v:shape id="_x0000_s1073" type="#_x0000_t32" style="position:absolute;margin-left:174pt;margin-top:15pt;width:.75pt;height:111.8pt;flip:x y;z-index:251693056" o:connectortype="straight">
            <v:stroke dashstyle="dash" endarrow="block"/>
          </v:shape>
        </w:pict>
      </w:r>
      <w:r>
        <w:rPr>
          <w:noProof/>
          <w:sz w:val="24"/>
        </w:rPr>
        <w:pict>
          <v:shape id="_x0000_s1072" type="#_x0000_t32" style="position:absolute;margin-left:86.25pt;margin-top:2.95pt;width:131.25pt;height:38.15pt;flip:y;z-index:251692032" o:connectortype="straight"/>
        </w:pict>
      </w:r>
      <w:r w:rsidR="004C6BF9">
        <w:rPr>
          <w:noProof/>
          <w:sz w:val="24"/>
        </w:rPr>
        <w:t xml:space="preserve">      1.66</w:t>
      </w:r>
    </w:p>
    <w:p w:rsidR="004C6BF9" w:rsidRDefault="00AB71E3" w:rsidP="004C6BF9">
      <w:pPr>
        <w:ind w:left="5040" w:right="-270" w:firstLine="720"/>
        <w:rPr>
          <w:sz w:val="24"/>
        </w:rPr>
      </w:pPr>
      <w:r>
        <w:rPr>
          <w:noProof/>
          <w:sz w:val="24"/>
        </w:rPr>
        <w:pict>
          <v:shape id="_x0000_s1078" type="#_x0000_t32" style="position:absolute;left:0;text-align:left;margin-left:150pt;margin-top:12.45pt;width:105.6pt;height:51.75pt;flip:x y;z-index:251698176" o:connectortype="straight">
            <v:stroke endarrow="block"/>
          </v:shape>
        </w:pict>
      </w:r>
      <w:r>
        <w:rPr>
          <w:noProof/>
          <w:sz w:val="24"/>
        </w:rPr>
        <w:pict>
          <v:shape id="_x0000_s1077" type="#_x0000_t32" style="position:absolute;left:0;text-align:left;margin-left:39.6pt;margin-top:1.2pt;width:134.4pt;height:0;z-index:251697152" o:connectortype="straight">
            <v:stroke dashstyle="dash" endarrow="block"/>
          </v:shape>
        </w:pict>
      </w:r>
      <w:r>
        <w:rPr>
          <w:noProof/>
          <w:sz w:val="24"/>
        </w:rPr>
        <w:pict>
          <v:shape id="_x0000_s1070" type="#_x0000_t32" style="position:absolute;left:0;text-align:left;margin-left:39.6pt;margin-top:20.1pt;width:66.9pt;height:0;z-index:251689984" o:connectortype="straight">
            <v:stroke dashstyle="dash" endarrow="block"/>
          </v:shape>
        </w:pict>
      </w:r>
      <w:r>
        <w:rPr>
          <w:noProof/>
          <w:sz w:val="24"/>
        </w:rPr>
        <w:pict>
          <v:shape id="_x0000_s1071" type="#_x0000_t32" style="position:absolute;left:0;text-align:left;margin-left:106.5pt;margin-top:20.1pt;width:0;height:85.7pt;flip:y;z-index:251691008" o:connectortype="straight">
            <v:stroke dashstyle="dash" endarrow="block"/>
          </v:shape>
        </w:pict>
      </w:r>
      <w:proofErr w:type="gramStart"/>
      <w:r w:rsidR="00081F6A">
        <w:rPr>
          <w:b/>
          <w:sz w:val="24"/>
        </w:rPr>
        <w:t xml:space="preserve">Line with slope of </w:t>
      </w:r>
      <w:r w:rsidR="004C6BF9">
        <w:rPr>
          <w:b/>
          <w:sz w:val="24"/>
        </w:rPr>
        <w:t>.16.</w:t>
      </w:r>
      <w:proofErr w:type="gramEnd"/>
      <w:r w:rsidR="004C6BF9" w:rsidRPr="00041467">
        <w:rPr>
          <w:b/>
          <w:sz w:val="24"/>
        </w:rPr>
        <w:t xml:space="preserve"> </w:t>
      </w:r>
      <w:r w:rsidRPr="00AB71E3">
        <w:rPr>
          <w:b/>
          <w:noProof/>
          <w:sz w:val="24"/>
        </w:rPr>
        <w:pict>
          <v:shape id="_x0000_s1075" type="#_x0000_t32" style="position:absolute;left:0;text-align:left;margin-left:255.6pt;margin-top:1.2pt;width:26.4pt;height:6.75pt;flip:y;z-index:251695104;mso-position-horizontal-relative:text;mso-position-vertical-relative:text" o:connectortype="straight">
            <v:stroke endarrow="block"/>
          </v:shape>
        </w:pict>
      </w:r>
      <w:r w:rsidR="004C6BF9">
        <w:rPr>
          <w:b/>
          <w:sz w:val="24"/>
        </w:rPr>
        <w:t xml:space="preserve"> </w:t>
      </w:r>
      <w:r w:rsidR="004C6BF9">
        <w:rPr>
          <w:sz w:val="24"/>
        </w:rPr>
        <w:t xml:space="preserve">Typical </w:t>
      </w:r>
      <w:r w:rsidR="008B4977">
        <w:rPr>
          <w:sz w:val="24"/>
        </w:rPr>
        <w:t>1990s</w:t>
      </w:r>
    </w:p>
    <w:p w:rsidR="004C6BF9" w:rsidRDefault="004C6BF9" w:rsidP="004C6BF9">
      <w:pPr>
        <w:ind w:right="-270"/>
        <w:rPr>
          <w:sz w:val="24"/>
        </w:rPr>
      </w:pPr>
      <w:r>
        <w:rPr>
          <w:b/>
          <w:sz w:val="24"/>
        </w:rPr>
        <w:t xml:space="preserve">      </w:t>
      </w:r>
      <w:r w:rsidR="000C6C7A">
        <w:rPr>
          <w:sz w:val="24"/>
        </w:rPr>
        <w:t xml:space="preserve">1.5                                                                          </w:t>
      </w:r>
      <w:r w:rsidR="000C6C7A" w:rsidRPr="000C6C7A">
        <w:rPr>
          <w:color w:val="F2F2F2" w:themeColor="background1" w:themeShade="F2"/>
          <w:sz w:val="16"/>
          <w:szCs w:val="16"/>
        </w:rPr>
        <w:t>-</w:t>
      </w:r>
      <w:r w:rsidR="000C6C7A">
        <w:rPr>
          <w:sz w:val="24"/>
        </w:rPr>
        <w:t>r</w:t>
      </w:r>
      <w:r>
        <w:rPr>
          <w:sz w:val="24"/>
        </w:rPr>
        <w:t>elationship</w:t>
      </w:r>
      <w:r w:rsidRPr="00041467">
        <w:rPr>
          <w:sz w:val="24"/>
        </w:rPr>
        <w:t xml:space="preserve"> </w:t>
      </w:r>
      <w:r>
        <w:rPr>
          <w:sz w:val="24"/>
        </w:rPr>
        <w:t>between observed AEI and CI of</w:t>
      </w:r>
    </w:p>
    <w:p w:rsidR="004C6BF9" w:rsidRDefault="004C6BF9" w:rsidP="004C6BF9">
      <w:pPr>
        <w:ind w:right="-270"/>
        <w:rPr>
          <w:sz w:val="24"/>
        </w:rPr>
      </w:pPr>
      <w:r>
        <w:rPr>
          <w:sz w:val="24"/>
        </w:rPr>
        <w:t xml:space="preserve">                                                                                     </w:t>
      </w:r>
      <w:r w:rsidR="000C6C7A">
        <w:rPr>
          <w:sz w:val="24"/>
        </w:rPr>
        <w:t xml:space="preserve"> </w:t>
      </w:r>
      <w:proofErr w:type="gramStart"/>
      <w:r>
        <w:rPr>
          <w:sz w:val="24"/>
        </w:rPr>
        <w:t>mares</w:t>
      </w:r>
      <w:proofErr w:type="gramEnd"/>
      <w:r>
        <w:rPr>
          <w:sz w:val="24"/>
        </w:rPr>
        <w:t xml:space="preserve"> to which a stallion is bred (determined</w:t>
      </w:r>
    </w:p>
    <w:p w:rsidR="004C6BF9" w:rsidRDefault="004C6BF9" w:rsidP="004C6BF9">
      <w:pPr>
        <w:ind w:right="-270"/>
        <w:rPr>
          <w:sz w:val="24"/>
        </w:rPr>
      </w:pPr>
      <w:r>
        <w:rPr>
          <w:b/>
          <w:sz w:val="24"/>
        </w:rPr>
        <w:t xml:space="preserve">       </w:t>
      </w:r>
      <w:r>
        <w:rPr>
          <w:b/>
          <w:sz w:val="24"/>
        </w:rPr>
        <w:tab/>
      </w:r>
      <w:r w:rsidRPr="004E3A4D">
        <w:rPr>
          <w:b/>
          <w:sz w:val="24"/>
        </w:rPr>
        <w:t xml:space="preserve"> </w:t>
      </w:r>
      <w:r>
        <w:rPr>
          <w:b/>
          <w:sz w:val="24"/>
        </w:rPr>
        <w:tab/>
      </w:r>
      <w:r>
        <w:rPr>
          <w:b/>
          <w:sz w:val="24"/>
        </w:rPr>
        <w:tab/>
      </w:r>
      <w:r>
        <w:rPr>
          <w:b/>
          <w:sz w:val="24"/>
        </w:rPr>
        <w:tab/>
      </w:r>
      <w:r>
        <w:rPr>
          <w:b/>
          <w:sz w:val="24"/>
        </w:rPr>
        <w:tab/>
      </w:r>
      <w:r>
        <w:rPr>
          <w:b/>
          <w:sz w:val="24"/>
        </w:rPr>
        <w:tab/>
      </w:r>
      <w:r>
        <w:rPr>
          <w:b/>
          <w:sz w:val="24"/>
        </w:rPr>
        <w:tab/>
        <w:t xml:space="preserve"> </w:t>
      </w:r>
      <w:r w:rsidR="000C6C7A">
        <w:rPr>
          <w:b/>
          <w:sz w:val="24"/>
        </w:rPr>
        <w:t xml:space="preserve"> </w:t>
      </w:r>
      <w:proofErr w:type="gramStart"/>
      <w:r w:rsidRPr="008427E0">
        <w:rPr>
          <w:sz w:val="24"/>
        </w:rPr>
        <w:t>by</w:t>
      </w:r>
      <w:proofErr w:type="gramEnd"/>
      <w:r w:rsidRPr="008427E0">
        <w:rPr>
          <w:sz w:val="24"/>
        </w:rPr>
        <w:t xml:space="preserve"> a statistical study).</w:t>
      </w:r>
      <w:r>
        <w:rPr>
          <w:sz w:val="24"/>
        </w:rPr>
        <w:t xml:space="preserve"> </w:t>
      </w:r>
    </w:p>
    <w:p w:rsidR="004C6BF9" w:rsidRPr="00041467" w:rsidRDefault="004C6BF9" w:rsidP="004C6BF9">
      <w:pPr>
        <w:ind w:left="5040" w:right="-270"/>
        <w:rPr>
          <w:sz w:val="24"/>
        </w:rPr>
      </w:pPr>
      <w:r>
        <w:rPr>
          <w:sz w:val="24"/>
        </w:rPr>
        <w:t xml:space="preserve">  The intersection of the</w:t>
      </w:r>
      <w:r w:rsidRPr="00041467">
        <w:rPr>
          <w:sz w:val="24"/>
        </w:rPr>
        <w:t xml:space="preserve"> </w:t>
      </w:r>
      <w:r w:rsidRPr="00041467">
        <w:rPr>
          <w:b/>
          <w:sz w:val="24"/>
        </w:rPr>
        <w:t xml:space="preserve">45 </w:t>
      </w:r>
      <w:r w:rsidRPr="00041467">
        <w:rPr>
          <w:b/>
          <w:sz w:val="24"/>
        </w:rPr>
        <w:sym w:font="Symbol" w:char="F0B0"/>
      </w:r>
      <w:r>
        <w:rPr>
          <w:b/>
          <w:sz w:val="24"/>
        </w:rPr>
        <w:t xml:space="preserve"> </w:t>
      </w:r>
      <w:r w:rsidRPr="00EA16C3">
        <w:rPr>
          <w:sz w:val="24"/>
        </w:rPr>
        <w:t>line with the</w:t>
      </w:r>
      <w:r>
        <w:rPr>
          <w:sz w:val="24"/>
        </w:rPr>
        <w:t xml:space="preserve"> </w:t>
      </w:r>
      <w:r>
        <w:rPr>
          <w:b/>
          <w:sz w:val="24"/>
        </w:rPr>
        <w:t xml:space="preserve"> </w:t>
      </w:r>
      <w:r w:rsidRPr="00041467">
        <w:rPr>
          <w:b/>
          <w:sz w:val="24"/>
        </w:rPr>
        <w:t xml:space="preserve"> </w:t>
      </w:r>
      <w:r w:rsidRPr="00041467">
        <w:rPr>
          <w:sz w:val="24"/>
        </w:rPr>
        <w:t xml:space="preserve">                     </w:t>
      </w:r>
    </w:p>
    <w:p w:rsidR="004C6BF9" w:rsidRDefault="004C6BF9" w:rsidP="004C6BF9">
      <w:pPr>
        <w:ind w:right="-270"/>
        <w:rPr>
          <w:sz w:val="24"/>
        </w:rPr>
      </w:pPr>
      <w:r w:rsidRPr="00041467">
        <w:rPr>
          <w:sz w:val="24"/>
        </w:rPr>
        <w:t xml:space="preserve"> </w:t>
      </w:r>
      <w:r w:rsidRPr="00041467">
        <w:rPr>
          <w:sz w:val="24"/>
        </w:rPr>
        <w:tab/>
      </w:r>
      <w:r w:rsidRPr="00041467">
        <w:rPr>
          <w:sz w:val="24"/>
        </w:rPr>
        <w:tab/>
      </w:r>
      <w:r w:rsidRPr="00041467">
        <w:rPr>
          <w:sz w:val="24"/>
        </w:rPr>
        <w:tab/>
      </w:r>
      <w:r w:rsidRPr="00041467">
        <w:rPr>
          <w:sz w:val="24"/>
        </w:rPr>
        <w:tab/>
      </w:r>
      <w:r w:rsidRPr="00041467">
        <w:rPr>
          <w:sz w:val="24"/>
        </w:rPr>
        <w:tab/>
      </w:r>
      <w:r w:rsidRPr="00041467">
        <w:rPr>
          <w:sz w:val="24"/>
        </w:rPr>
        <w:tab/>
      </w:r>
      <w:r w:rsidRPr="00041467">
        <w:rPr>
          <w:sz w:val="24"/>
        </w:rPr>
        <w:tab/>
        <w:t xml:space="preserve"> </w:t>
      </w:r>
      <w:r>
        <w:rPr>
          <w:sz w:val="24"/>
        </w:rPr>
        <w:t xml:space="preserve"> </w:t>
      </w:r>
      <w:proofErr w:type="gramStart"/>
      <w:r>
        <w:rPr>
          <w:sz w:val="24"/>
        </w:rPr>
        <w:t>observed</w:t>
      </w:r>
      <w:proofErr w:type="gramEnd"/>
      <w:r>
        <w:rPr>
          <w:sz w:val="24"/>
        </w:rPr>
        <w:t xml:space="preserve"> relationship between AEI and  </w:t>
      </w:r>
    </w:p>
    <w:p w:rsidR="004C6BF9" w:rsidRPr="00041467" w:rsidRDefault="004C6BF9" w:rsidP="004C6BF9">
      <w:pPr>
        <w:ind w:right="-270"/>
        <w:rPr>
          <w:sz w:val="24"/>
        </w:rPr>
      </w:pPr>
      <w:r w:rsidRPr="00041467">
        <w:rPr>
          <w:sz w:val="24"/>
        </w:rPr>
        <w:t xml:space="preserve"> </w:t>
      </w:r>
      <w:r>
        <w:rPr>
          <w:sz w:val="24"/>
        </w:rPr>
        <w:tab/>
      </w:r>
      <w:r>
        <w:rPr>
          <w:sz w:val="24"/>
        </w:rPr>
        <w:tab/>
      </w:r>
      <w:r>
        <w:rPr>
          <w:sz w:val="24"/>
        </w:rPr>
        <w:tab/>
      </w:r>
      <w:r>
        <w:rPr>
          <w:sz w:val="24"/>
        </w:rPr>
        <w:tab/>
      </w:r>
      <w:r>
        <w:rPr>
          <w:sz w:val="24"/>
        </w:rPr>
        <w:tab/>
      </w:r>
      <w:r>
        <w:rPr>
          <w:sz w:val="24"/>
        </w:rPr>
        <w:tab/>
      </w:r>
      <w:r>
        <w:rPr>
          <w:sz w:val="24"/>
        </w:rPr>
        <w:tab/>
        <w:t xml:space="preserve">  CI (</w:t>
      </w:r>
      <w:r>
        <w:rPr>
          <w:b/>
          <w:sz w:val="24"/>
        </w:rPr>
        <w:t xml:space="preserve">.16 sloped </w:t>
      </w:r>
      <w:r w:rsidRPr="00041467">
        <w:rPr>
          <w:b/>
          <w:sz w:val="24"/>
        </w:rPr>
        <w:t>line</w:t>
      </w:r>
      <w:r>
        <w:rPr>
          <w:b/>
          <w:sz w:val="24"/>
        </w:rPr>
        <w:t>) is an estimate of the</w:t>
      </w:r>
    </w:p>
    <w:p w:rsidR="004C6BF9" w:rsidRPr="00041467" w:rsidRDefault="004C6BF9" w:rsidP="004C6BF9">
      <w:pPr>
        <w:ind w:left="4320" w:right="-270" w:firstLine="720"/>
        <w:rPr>
          <w:sz w:val="24"/>
        </w:rPr>
      </w:pPr>
      <w:r>
        <w:rPr>
          <w:sz w:val="24"/>
        </w:rPr>
        <w:t xml:space="preserve">  Stallion’s true (adjusted) AEI</w:t>
      </w:r>
    </w:p>
    <w:p w:rsidR="004C6BF9" w:rsidRPr="00041467" w:rsidRDefault="00AB71E3" w:rsidP="004C6BF9">
      <w:pPr>
        <w:ind w:left="4320" w:right="-270" w:firstLine="720"/>
        <w:rPr>
          <w:sz w:val="24"/>
        </w:rPr>
      </w:pPr>
      <w:r>
        <w:rPr>
          <w:noProof/>
          <w:sz w:val="24"/>
        </w:rPr>
        <w:pict>
          <v:line id="_x0000_s1069" style="position:absolute;left:0;text-align:left;z-index:251688960" from="39.6pt,1.5pt" to="234pt,1.5pt" o:allowincell="f"/>
        </w:pict>
      </w:r>
      <w:r w:rsidR="004C6BF9" w:rsidRPr="00041467">
        <w:rPr>
          <w:sz w:val="24"/>
        </w:rPr>
        <w:t>.</w:t>
      </w:r>
    </w:p>
    <w:p w:rsidR="004C6BF9" w:rsidRPr="00041467" w:rsidRDefault="004C6BF9" w:rsidP="004C6BF9">
      <w:pPr>
        <w:ind w:left="1440" w:right="-270"/>
        <w:rPr>
          <w:sz w:val="24"/>
        </w:rPr>
      </w:pPr>
      <w:r>
        <w:rPr>
          <w:sz w:val="24"/>
        </w:rPr>
        <w:t xml:space="preserve">          1.0</w:t>
      </w:r>
      <w:r>
        <w:rPr>
          <w:sz w:val="24"/>
        </w:rPr>
        <w:tab/>
        <w:t xml:space="preserve">        2.0</w:t>
      </w:r>
      <w:r w:rsidRPr="00041467">
        <w:rPr>
          <w:sz w:val="24"/>
        </w:rPr>
        <w:tab/>
        <w:t xml:space="preserve">  </w:t>
      </w:r>
      <w:r w:rsidRPr="00041467">
        <w:rPr>
          <w:sz w:val="24"/>
        </w:rPr>
        <w:tab/>
        <w:t>.</w:t>
      </w:r>
    </w:p>
    <w:p w:rsidR="004C6BF9" w:rsidRDefault="004C6BF9" w:rsidP="004C6BF9">
      <w:pPr>
        <w:spacing w:line="360" w:lineRule="auto"/>
        <w:ind w:right="-270" w:firstLine="720"/>
        <w:rPr>
          <w:b/>
          <w:noProof/>
          <w:sz w:val="24"/>
        </w:rPr>
      </w:pPr>
      <w:r>
        <w:rPr>
          <w:b/>
          <w:sz w:val="24"/>
        </w:rPr>
        <w:t>Mare CI (AEI’s of mare</w:t>
      </w:r>
      <w:r w:rsidRPr="00041467">
        <w:rPr>
          <w:b/>
          <w:sz w:val="24"/>
        </w:rPr>
        <w:t>s</w:t>
      </w:r>
      <w:r>
        <w:rPr>
          <w:b/>
          <w:sz w:val="24"/>
        </w:rPr>
        <w:t>’</w:t>
      </w:r>
      <w:r w:rsidRPr="00041467">
        <w:rPr>
          <w:b/>
          <w:sz w:val="24"/>
        </w:rPr>
        <w:t xml:space="preserve"> other foals)</w:t>
      </w:r>
      <w:r w:rsidRPr="00041467">
        <w:rPr>
          <w:b/>
          <w:noProof/>
          <w:sz w:val="24"/>
        </w:rPr>
        <w:sym w:font="Wingdings" w:char="F0E0"/>
      </w:r>
    </w:p>
    <w:p w:rsidR="00A2385B" w:rsidRDefault="00797FA3"/>
    <w:p w:rsidR="007F28A9" w:rsidRDefault="005D377F">
      <w:pPr>
        <w:rPr>
          <w:sz w:val="24"/>
          <w:szCs w:val="24"/>
        </w:rPr>
      </w:pPr>
      <w:r>
        <w:rPr>
          <w:sz w:val="24"/>
          <w:szCs w:val="24"/>
        </w:rPr>
        <w:t xml:space="preserve">Using data from the late 1990s, </w:t>
      </w:r>
      <w:r w:rsidR="0085629F">
        <w:rPr>
          <w:sz w:val="24"/>
          <w:szCs w:val="24"/>
        </w:rPr>
        <w:t>this</w:t>
      </w:r>
      <w:r w:rsidR="00041467" w:rsidRPr="00FF2F03">
        <w:rPr>
          <w:sz w:val="24"/>
          <w:szCs w:val="24"/>
        </w:rPr>
        <w:t xml:space="preserve"> study </w:t>
      </w:r>
      <w:r w:rsidR="0085629F">
        <w:rPr>
          <w:sz w:val="24"/>
          <w:szCs w:val="24"/>
        </w:rPr>
        <w:t>estimated</w:t>
      </w:r>
      <w:r w:rsidR="007F28A9">
        <w:rPr>
          <w:sz w:val="24"/>
          <w:szCs w:val="24"/>
        </w:rPr>
        <w:t xml:space="preserve"> that </w:t>
      </w:r>
      <w:r w:rsidR="0085629F">
        <w:rPr>
          <w:sz w:val="24"/>
          <w:szCs w:val="24"/>
        </w:rPr>
        <w:t>the</w:t>
      </w:r>
      <w:r>
        <w:rPr>
          <w:sz w:val="24"/>
          <w:szCs w:val="24"/>
        </w:rPr>
        <w:t xml:space="preserve"> </w:t>
      </w:r>
      <w:r w:rsidR="007F28A9">
        <w:rPr>
          <w:sz w:val="24"/>
          <w:szCs w:val="24"/>
        </w:rPr>
        <w:t>average</w:t>
      </w:r>
      <w:r w:rsidR="007F28A9" w:rsidRPr="00FF2F03">
        <w:rPr>
          <w:sz w:val="24"/>
          <w:szCs w:val="24"/>
        </w:rPr>
        <w:t xml:space="preserve"> relationship</w:t>
      </w:r>
      <w:r w:rsidR="007F28A9">
        <w:rPr>
          <w:sz w:val="24"/>
          <w:szCs w:val="24"/>
        </w:rPr>
        <w:t xml:space="preserve"> between AEI and CI </w:t>
      </w:r>
      <w:r w:rsidR="00557C8A">
        <w:rPr>
          <w:sz w:val="24"/>
          <w:szCs w:val="24"/>
        </w:rPr>
        <w:t xml:space="preserve">of mares bred </w:t>
      </w:r>
      <w:r w:rsidR="007F28A9">
        <w:rPr>
          <w:sz w:val="24"/>
          <w:szCs w:val="24"/>
        </w:rPr>
        <w:t xml:space="preserve">was as </w:t>
      </w:r>
      <w:r w:rsidR="0085629F">
        <w:rPr>
          <w:sz w:val="24"/>
          <w:szCs w:val="24"/>
        </w:rPr>
        <w:t>reported in the diagram above</w:t>
      </w:r>
      <w:r w:rsidR="007F28A9">
        <w:rPr>
          <w:sz w:val="24"/>
          <w:szCs w:val="24"/>
        </w:rPr>
        <w:t>.</w:t>
      </w:r>
      <w:r w:rsidR="00041467" w:rsidRPr="00FF2F03">
        <w:rPr>
          <w:sz w:val="24"/>
          <w:szCs w:val="24"/>
        </w:rPr>
        <w:t xml:space="preserve">  </w:t>
      </w:r>
      <w:r w:rsidR="007F28A9">
        <w:rPr>
          <w:sz w:val="24"/>
          <w:szCs w:val="24"/>
        </w:rPr>
        <w:t>The .16 slope line</w:t>
      </w:r>
      <w:r w:rsidR="0085629F">
        <w:rPr>
          <w:sz w:val="24"/>
          <w:szCs w:val="24"/>
        </w:rPr>
        <w:t xml:space="preserve"> re</w:t>
      </w:r>
      <w:r w:rsidR="007F28A9">
        <w:rPr>
          <w:sz w:val="24"/>
          <w:szCs w:val="24"/>
        </w:rPr>
        <w:t>presents a plot of that average stallion’s re</w:t>
      </w:r>
      <w:r w:rsidR="0085629F">
        <w:rPr>
          <w:sz w:val="24"/>
          <w:szCs w:val="24"/>
        </w:rPr>
        <w:t xml:space="preserve">lationship between </w:t>
      </w:r>
      <w:r w:rsidR="007F28A9">
        <w:rPr>
          <w:sz w:val="24"/>
          <w:szCs w:val="24"/>
        </w:rPr>
        <w:t xml:space="preserve">the </w:t>
      </w:r>
      <w:r w:rsidR="0085629F">
        <w:rPr>
          <w:sz w:val="24"/>
          <w:szCs w:val="24"/>
        </w:rPr>
        <w:t>stallion’</w:t>
      </w:r>
      <w:r w:rsidR="007F28A9">
        <w:rPr>
          <w:sz w:val="24"/>
          <w:szCs w:val="24"/>
        </w:rPr>
        <w:t>s AEIs and</w:t>
      </w:r>
      <w:r w:rsidR="0085629F">
        <w:rPr>
          <w:sz w:val="24"/>
          <w:szCs w:val="24"/>
        </w:rPr>
        <w:t xml:space="preserve"> CIs </w:t>
      </w:r>
      <w:r w:rsidR="007F28A9">
        <w:rPr>
          <w:sz w:val="24"/>
          <w:szCs w:val="24"/>
        </w:rPr>
        <w:t>for</w:t>
      </w:r>
      <w:r w:rsidR="0085629F">
        <w:rPr>
          <w:sz w:val="24"/>
          <w:szCs w:val="24"/>
        </w:rPr>
        <w:t xml:space="preserve"> subgroups of his mares</w:t>
      </w:r>
      <w:r w:rsidR="007F28A9">
        <w:rPr>
          <w:sz w:val="24"/>
          <w:szCs w:val="24"/>
        </w:rPr>
        <w:t xml:space="preserve">, where their CIs for ten deciles, from lowest to highest mare CIs, where plotted against the </w:t>
      </w:r>
      <w:r w:rsidR="00557C8A">
        <w:rPr>
          <w:sz w:val="24"/>
          <w:szCs w:val="24"/>
        </w:rPr>
        <w:t xml:space="preserve">stallion </w:t>
      </w:r>
      <w:r w:rsidR="007F28A9">
        <w:rPr>
          <w:sz w:val="24"/>
          <w:szCs w:val="24"/>
        </w:rPr>
        <w:t>AEIs for those subgroups.</w:t>
      </w:r>
      <w:r w:rsidR="00D84A4F">
        <w:rPr>
          <w:sz w:val="24"/>
          <w:szCs w:val="24"/>
        </w:rPr>
        <w:t xml:space="preserve">.  See the last page of this summary for </w:t>
      </w:r>
      <w:r w:rsidR="00557C8A">
        <w:rPr>
          <w:sz w:val="24"/>
          <w:szCs w:val="24"/>
        </w:rPr>
        <w:t xml:space="preserve">data from </w:t>
      </w:r>
      <w:r w:rsidR="00D84A4F">
        <w:rPr>
          <w:sz w:val="24"/>
          <w:szCs w:val="24"/>
        </w:rPr>
        <w:t xml:space="preserve">an example </w:t>
      </w:r>
      <w:r w:rsidR="00557C8A">
        <w:rPr>
          <w:sz w:val="24"/>
          <w:szCs w:val="24"/>
        </w:rPr>
        <w:t xml:space="preserve">using </w:t>
      </w:r>
      <w:proofErr w:type="spellStart"/>
      <w:r w:rsidR="00557C8A">
        <w:rPr>
          <w:sz w:val="24"/>
          <w:szCs w:val="24"/>
        </w:rPr>
        <w:t>Dynaformer</w:t>
      </w:r>
      <w:proofErr w:type="spellEnd"/>
      <w:r w:rsidR="00557C8A">
        <w:rPr>
          <w:sz w:val="24"/>
          <w:szCs w:val="24"/>
        </w:rPr>
        <w:t xml:space="preserve"> data</w:t>
      </w:r>
      <w:r w:rsidR="0085629F">
        <w:rPr>
          <w:sz w:val="24"/>
          <w:szCs w:val="24"/>
        </w:rPr>
        <w:t xml:space="preserve">.  </w:t>
      </w:r>
      <w:r w:rsidR="004E4F94">
        <w:rPr>
          <w:sz w:val="24"/>
          <w:szCs w:val="24"/>
        </w:rPr>
        <w:t xml:space="preserve">After sorting the CIs of mares bred to each </w:t>
      </w:r>
      <w:r w:rsidR="0085629F">
        <w:rPr>
          <w:sz w:val="24"/>
          <w:szCs w:val="24"/>
        </w:rPr>
        <w:t xml:space="preserve">of 66 </w:t>
      </w:r>
      <w:r w:rsidR="004E4F94">
        <w:rPr>
          <w:sz w:val="24"/>
          <w:szCs w:val="24"/>
        </w:rPr>
        <w:t>stallion</w:t>
      </w:r>
      <w:r w:rsidR="0085629F">
        <w:rPr>
          <w:sz w:val="24"/>
          <w:szCs w:val="24"/>
        </w:rPr>
        <w:t>s</w:t>
      </w:r>
      <w:r w:rsidR="004E4F94">
        <w:rPr>
          <w:sz w:val="24"/>
          <w:szCs w:val="24"/>
        </w:rPr>
        <w:t xml:space="preserve"> into ten deciles, calculating the average CI for each </w:t>
      </w:r>
      <w:proofErr w:type="spellStart"/>
      <w:r w:rsidR="004E4F94">
        <w:rPr>
          <w:sz w:val="24"/>
          <w:szCs w:val="24"/>
        </w:rPr>
        <w:t>decile</w:t>
      </w:r>
      <w:proofErr w:type="spellEnd"/>
      <w:r w:rsidR="004E4F94">
        <w:rPr>
          <w:sz w:val="24"/>
          <w:szCs w:val="24"/>
        </w:rPr>
        <w:t xml:space="preserve"> for each stallion, then investigating the relationship between AEIs and CIs for each stallion by </w:t>
      </w:r>
      <w:proofErr w:type="spellStart"/>
      <w:r w:rsidR="004E4F94">
        <w:rPr>
          <w:sz w:val="24"/>
          <w:szCs w:val="24"/>
        </w:rPr>
        <w:t>decile</w:t>
      </w:r>
      <w:proofErr w:type="spellEnd"/>
      <w:r w:rsidR="004E4F94">
        <w:rPr>
          <w:sz w:val="24"/>
          <w:szCs w:val="24"/>
        </w:rPr>
        <w:t>, I observed that an</w:t>
      </w:r>
      <w:r w:rsidR="00041467" w:rsidRPr="00FF2F03">
        <w:rPr>
          <w:sz w:val="24"/>
          <w:szCs w:val="24"/>
        </w:rPr>
        <w:t xml:space="preserve"> increase of 1.0 in the CI of the mares to which </w:t>
      </w:r>
      <w:r w:rsidR="004E4F94">
        <w:rPr>
          <w:sz w:val="24"/>
          <w:szCs w:val="24"/>
        </w:rPr>
        <w:t>the average</w:t>
      </w:r>
      <w:r w:rsidR="00557C8A">
        <w:rPr>
          <w:sz w:val="24"/>
          <w:szCs w:val="24"/>
        </w:rPr>
        <w:t xml:space="preserve"> stallion was</w:t>
      </w:r>
      <w:r w:rsidR="00041467" w:rsidRPr="00FF2F03">
        <w:rPr>
          <w:sz w:val="24"/>
          <w:szCs w:val="24"/>
        </w:rPr>
        <w:t xml:space="preserve"> bred </w:t>
      </w:r>
      <w:r w:rsidR="00557C8A">
        <w:rPr>
          <w:sz w:val="24"/>
          <w:szCs w:val="24"/>
        </w:rPr>
        <w:t>was</w:t>
      </w:r>
      <w:r w:rsidR="009217E0">
        <w:rPr>
          <w:sz w:val="24"/>
          <w:szCs w:val="24"/>
        </w:rPr>
        <w:t xml:space="preserve"> associated with an </w:t>
      </w:r>
      <w:r w:rsidR="00041467" w:rsidRPr="00FF2F03">
        <w:rPr>
          <w:sz w:val="24"/>
          <w:szCs w:val="24"/>
        </w:rPr>
        <w:t xml:space="preserve">increase </w:t>
      </w:r>
      <w:r w:rsidR="00FA24BF">
        <w:rPr>
          <w:sz w:val="24"/>
          <w:szCs w:val="24"/>
        </w:rPr>
        <w:t xml:space="preserve">in the observed </w:t>
      </w:r>
      <w:r w:rsidR="00041467" w:rsidRPr="00FF2F03">
        <w:rPr>
          <w:sz w:val="24"/>
          <w:szCs w:val="24"/>
        </w:rPr>
        <w:t xml:space="preserve">AEI of the stallion </w:t>
      </w:r>
      <w:r w:rsidR="00FA24BF">
        <w:rPr>
          <w:sz w:val="24"/>
          <w:szCs w:val="24"/>
        </w:rPr>
        <w:t>of</w:t>
      </w:r>
      <w:r w:rsidR="00041467" w:rsidRPr="00FF2F03">
        <w:rPr>
          <w:sz w:val="24"/>
          <w:szCs w:val="24"/>
        </w:rPr>
        <w:t xml:space="preserve"> approximately .16.</w:t>
      </w:r>
      <w:r w:rsidR="000A66CF">
        <w:rPr>
          <w:rStyle w:val="FootnoteReference"/>
          <w:sz w:val="24"/>
          <w:szCs w:val="24"/>
        </w:rPr>
        <w:footnoteReference w:id="1"/>
      </w:r>
      <w:r w:rsidR="00041467" w:rsidRPr="00FF2F03">
        <w:rPr>
          <w:sz w:val="24"/>
          <w:szCs w:val="24"/>
        </w:rPr>
        <w:t xml:space="preserve">  </w:t>
      </w:r>
    </w:p>
    <w:p w:rsidR="00041467" w:rsidRDefault="007F28A9">
      <w:pPr>
        <w:rPr>
          <w:sz w:val="24"/>
          <w:szCs w:val="24"/>
        </w:rPr>
      </w:pPr>
      <w:r>
        <w:rPr>
          <w:sz w:val="24"/>
          <w:szCs w:val="24"/>
        </w:rPr>
        <w:lastRenderedPageBreak/>
        <w:t>A</w:t>
      </w:r>
      <w:r w:rsidR="005D377F">
        <w:rPr>
          <w:sz w:val="24"/>
          <w:szCs w:val="24"/>
        </w:rPr>
        <w:t xml:space="preserve">s represented in the diagram above, </w:t>
      </w:r>
      <w:r w:rsidR="00041467" w:rsidRPr="00FF2F03">
        <w:rPr>
          <w:sz w:val="24"/>
          <w:szCs w:val="24"/>
        </w:rPr>
        <w:t xml:space="preserve">a stallion bred to 1.0 CI  mares that exhibits an AEI of 1.5 will normally exhibit an AEI that is .16 higher </w:t>
      </w:r>
      <w:r>
        <w:rPr>
          <w:sz w:val="24"/>
          <w:szCs w:val="24"/>
        </w:rPr>
        <w:t>(</w:t>
      </w:r>
      <w:r w:rsidR="00DC0866">
        <w:rPr>
          <w:sz w:val="24"/>
          <w:szCs w:val="24"/>
        </w:rPr>
        <w:t xml:space="preserve">than 1.5 </w:t>
      </w:r>
      <w:r>
        <w:rPr>
          <w:sz w:val="24"/>
          <w:szCs w:val="24"/>
        </w:rPr>
        <w:t xml:space="preserve">in this example) </w:t>
      </w:r>
      <w:r w:rsidR="00DC0866">
        <w:rPr>
          <w:sz w:val="24"/>
          <w:szCs w:val="24"/>
        </w:rPr>
        <w:t>i</w:t>
      </w:r>
      <w:r w:rsidR="00041467" w:rsidRPr="00FF2F03">
        <w:rPr>
          <w:sz w:val="24"/>
          <w:szCs w:val="24"/>
        </w:rPr>
        <w:t xml:space="preserve">f he is bred to mares with an average CI of </w:t>
      </w:r>
      <w:r w:rsidR="00DC0866">
        <w:rPr>
          <w:sz w:val="24"/>
          <w:szCs w:val="24"/>
        </w:rPr>
        <w:t>2</w:t>
      </w:r>
      <w:r w:rsidR="00041467" w:rsidRPr="00FF2F03">
        <w:rPr>
          <w:sz w:val="24"/>
          <w:szCs w:val="24"/>
        </w:rPr>
        <w:t>.0</w:t>
      </w:r>
      <w:r w:rsidR="00DC0866">
        <w:rPr>
          <w:sz w:val="24"/>
          <w:szCs w:val="24"/>
        </w:rPr>
        <w:t>:</w:t>
      </w:r>
      <w:r w:rsidR="00041467" w:rsidRPr="00FF2F03">
        <w:rPr>
          <w:sz w:val="24"/>
          <w:szCs w:val="24"/>
        </w:rPr>
        <w:t xml:space="preserve"> So, </w:t>
      </w:r>
      <w:r w:rsidR="00557C8A">
        <w:rPr>
          <w:sz w:val="24"/>
          <w:szCs w:val="24"/>
        </w:rPr>
        <w:t xml:space="preserve">AEI = </w:t>
      </w:r>
      <w:r w:rsidR="00041467" w:rsidRPr="00FF2F03">
        <w:rPr>
          <w:sz w:val="24"/>
          <w:szCs w:val="24"/>
        </w:rPr>
        <w:t>1.5 + .16 = 1.66 if bred to mares with an average CI of 2.0</w:t>
      </w:r>
    </w:p>
    <w:p w:rsidR="004E4F94" w:rsidRPr="00FF2F03" w:rsidRDefault="004E4F94">
      <w:pPr>
        <w:rPr>
          <w:sz w:val="24"/>
          <w:szCs w:val="24"/>
        </w:rPr>
      </w:pPr>
    </w:p>
    <w:p w:rsidR="00041467" w:rsidRPr="00FF2F03" w:rsidRDefault="00041467">
      <w:pPr>
        <w:rPr>
          <w:sz w:val="24"/>
          <w:szCs w:val="24"/>
        </w:rPr>
      </w:pPr>
      <w:r w:rsidRPr="00FF2F03">
        <w:rPr>
          <w:sz w:val="24"/>
          <w:szCs w:val="24"/>
        </w:rPr>
        <w:t xml:space="preserve">Using this relationship, </w:t>
      </w:r>
      <w:r w:rsidR="004E4F94">
        <w:rPr>
          <w:sz w:val="24"/>
          <w:szCs w:val="24"/>
        </w:rPr>
        <w:t>it is possible to wo</w:t>
      </w:r>
      <w:r w:rsidRPr="00FF2F03">
        <w:rPr>
          <w:sz w:val="24"/>
          <w:szCs w:val="24"/>
        </w:rPr>
        <w:t xml:space="preserve">rk backward from observed </w:t>
      </w:r>
      <w:r w:rsidR="00557C8A">
        <w:rPr>
          <w:sz w:val="24"/>
          <w:szCs w:val="24"/>
        </w:rPr>
        <w:t xml:space="preserve">AEI </w:t>
      </w:r>
      <w:r w:rsidRPr="00FF2F03">
        <w:rPr>
          <w:sz w:val="24"/>
          <w:szCs w:val="24"/>
        </w:rPr>
        <w:t xml:space="preserve">numbers a stallion </w:t>
      </w:r>
      <w:r w:rsidR="00557C8A">
        <w:rPr>
          <w:sz w:val="24"/>
          <w:szCs w:val="24"/>
        </w:rPr>
        <w:t>reports</w:t>
      </w:r>
      <w:r w:rsidRPr="00FF2F03">
        <w:rPr>
          <w:sz w:val="24"/>
          <w:szCs w:val="24"/>
        </w:rPr>
        <w:t xml:space="preserve"> to arrive at an “adjusted AEI” that reflects the </w:t>
      </w:r>
      <w:proofErr w:type="gramStart"/>
      <w:r w:rsidRPr="00FF2F03">
        <w:rPr>
          <w:sz w:val="24"/>
          <w:szCs w:val="24"/>
        </w:rPr>
        <w:t>stallion’s</w:t>
      </w:r>
      <w:proofErr w:type="gramEnd"/>
      <w:r w:rsidRPr="00FF2F03">
        <w:rPr>
          <w:sz w:val="24"/>
          <w:szCs w:val="24"/>
        </w:rPr>
        <w:t xml:space="preserve"> </w:t>
      </w:r>
      <w:r w:rsidR="00FA24BF">
        <w:rPr>
          <w:sz w:val="24"/>
          <w:szCs w:val="24"/>
        </w:rPr>
        <w:t>“</w:t>
      </w:r>
      <w:r w:rsidR="00FA24BF" w:rsidRPr="004E4F94">
        <w:rPr>
          <w:b/>
          <w:sz w:val="24"/>
          <w:szCs w:val="24"/>
        </w:rPr>
        <w:t>True AEI</w:t>
      </w:r>
      <w:r w:rsidRPr="00FF2F03">
        <w:rPr>
          <w:sz w:val="24"/>
          <w:szCs w:val="24"/>
        </w:rPr>
        <w:t>.</w:t>
      </w:r>
      <w:r w:rsidR="00FA24BF">
        <w:rPr>
          <w:sz w:val="24"/>
          <w:szCs w:val="24"/>
        </w:rPr>
        <w:t>”</w:t>
      </w:r>
      <w:r w:rsidRPr="00FF2F03">
        <w:rPr>
          <w:sz w:val="24"/>
          <w:szCs w:val="24"/>
        </w:rPr>
        <w:t xml:space="preserve">  For instance, it would be interesting to know the true ability to generate AEI of the </w:t>
      </w:r>
      <w:r w:rsidR="005D377F">
        <w:rPr>
          <w:sz w:val="24"/>
          <w:szCs w:val="24"/>
        </w:rPr>
        <w:t>representative stallion from the diagram</w:t>
      </w:r>
      <w:r w:rsidRPr="00FF2F03">
        <w:rPr>
          <w:sz w:val="24"/>
          <w:szCs w:val="24"/>
        </w:rPr>
        <w:t xml:space="preserve"> above.  </w:t>
      </w:r>
      <w:r w:rsidR="00E47A5B" w:rsidRPr="00FF2F03">
        <w:rPr>
          <w:sz w:val="24"/>
          <w:szCs w:val="24"/>
        </w:rPr>
        <w:t>This stallion produced an</w:t>
      </w:r>
      <w:r w:rsidRPr="00FF2F03">
        <w:rPr>
          <w:sz w:val="24"/>
          <w:szCs w:val="24"/>
        </w:rPr>
        <w:t xml:space="preserve"> AEI of</w:t>
      </w:r>
      <w:r w:rsidR="00E47A5B" w:rsidRPr="00FF2F03">
        <w:rPr>
          <w:sz w:val="24"/>
          <w:szCs w:val="24"/>
        </w:rPr>
        <w:t xml:space="preserve"> 1.5 when bred to mares with a CI of 1.0.  He produced an AEI of 1.66 when bred to mares with a CI of 2.0.  A pedigree analyst would say that he “moved up” the 1.0 CI mares by generating an AEI </w:t>
      </w:r>
      <w:r w:rsidR="005D377F">
        <w:rPr>
          <w:sz w:val="24"/>
          <w:szCs w:val="24"/>
        </w:rPr>
        <w:t>of 1.5</w:t>
      </w:r>
      <w:r w:rsidR="00E47A5B" w:rsidRPr="00FF2F03">
        <w:rPr>
          <w:sz w:val="24"/>
          <w:szCs w:val="24"/>
        </w:rPr>
        <w:t xml:space="preserve">, but “moved down” the 2.0 CI mares by generating an AEI of 1.66 when bred to 2.0 CI mares. </w:t>
      </w:r>
      <w:r w:rsidR="00DC0866">
        <w:rPr>
          <w:sz w:val="24"/>
          <w:szCs w:val="24"/>
        </w:rPr>
        <w:t>It seems that this stallion’s true AEI is somewhere between 1.5 and 1.66, but where?</w:t>
      </w:r>
    </w:p>
    <w:p w:rsidR="00E47A5B" w:rsidRPr="00FF2F03" w:rsidRDefault="00E47A5B">
      <w:pPr>
        <w:rPr>
          <w:sz w:val="24"/>
          <w:szCs w:val="24"/>
        </w:rPr>
      </w:pPr>
    </w:p>
    <w:p w:rsidR="00E47A5B" w:rsidRDefault="00E47A5B">
      <w:pPr>
        <w:rPr>
          <w:sz w:val="24"/>
          <w:szCs w:val="24"/>
        </w:rPr>
      </w:pPr>
      <w:r w:rsidRPr="00FF2F03">
        <w:rPr>
          <w:sz w:val="24"/>
          <w:szCs w:val="24"/>
        </w:rPr>
        <w:t xml:space="preserve">The question is, “What level of mares would </w:t>
      </w:r>
      <w:r w:rsidR="004C6BF9">
        <w:rPr>
          <w:sz w:val="24"/>
          <w:szCs w:val="24"/>
        </w:rPr>
        <w:t>t</w:t>
      </w:r>
      <w:r w:rsidRPr="00FF2F03">
        <w:rPr>
          <w:sz w:val="24"/>
          <w:szCs w:val="24"/>
        </w:rPr>
        <w:t xml:space="preserve">he </w:t>
      </w:r>
      <w:r w:rsidR="004C6BF9">
        <w:rPr>
          <w:sz w:val="24"/>
          <w:szCs w:val="24"/>
        </w:rPr>
        <w:t xml:space="preserve">stallion </w:t>
      </w:r>
      <w:r w:rsidR="00243228">
        <w:rPr>
          <w:sz w:val="24"/>
          <w:szCs w:val="24"/>
        </w:rPr>
        <w:t>neither ‘move up’</w:t>
      </w:r>
      <w:r w:rsidRPr="00FF2F03">
        <w:rPr>
          <w:sz w:val="24"/>
          <w:szCs w:val="24"/>
        </w:rPr>
        <w:t xml:space="preserve"> </w:t>
      </w:r>
      <w:r w:rsidR="004C6BF9">
        <w:rPr>
          <w:sz w:val="24"/>
          <w:szCs w:val="24"/>
        </w:rPr>
        <w:t>n</w:t>
      </w:r>
      <w:r w:rsidR="00243228">
        <w:rPr>
          <w:sz w:val="24"/>
          <w:szCs w:val="24"/>
        </w:rPr>
        <w:t>or ‘</w:t>
      </w:r>
      <w:r w:rsidRPr="00FF2F03">
        <w:rPr>
          <w:sz w:val="24"/>
          <w:szCs w:val="24"/>
        </w:rPr>
        <w:t>move down</w:t>
      </w:r>
      <w:r w:rsidR="00243228">
        <w:rPr>
          <w:sz w:val="24"/>
          <w:szCs w:val="24"/>
        </w:rPr>
        <w:t>’</w:t>
      </w:r>
      <w:r w:rsidRPr="00FF2F03">
        <w:rPr>
          <w:sz w:val="24"/>
          <w:szCs w:val="24"/>
        </w:rPr>
        <w:t xml:space="preserve">?”  </w:t>
      </w:r>
      <w:r w:rsidR="005D377F">
        <w:rPr>
          <w:sz w:val="24"/>
          <w:szCs w:val="24"/>
        </w:rPr>
        <w:t xml:space="preserve">This can be defined as his “True AEI.” </w:t>
      </w:r>
      <w:r w:rsidRPr="00FF2F03">
        <w:rPr>
          <w:sz w:val="24"/>
          <w:szCs w:val="24"/>
        </w:rPr>
        <w:t>The answer can be determined graphically</w:t>
      </w:r>
      <w:r w:rsidR="00FF2F03">
        <w:rPr>
          <w:sz w:val="24"/>
          <w:szCs w:val="24"/>
        </w:rPr>
        <w:t xml:space="preserve"> (see </w:t>
      </w:r>
      <w:r w:rsidR="00FA24BF">
        <w:rPr>
          <w:sz w:val="24"/>
          <w:szCs w:val="24"/>
        </w:rPr>
        <w:t xml:space="preserve">the diagram </w:t>
      </w:r>
      <w:r w:rsidR="00FF2F03">
        <w:rPr>
          <w:sz w:val="24"/>
          <w:szCs w:val="24"/>
        </w:rPr>
        <w:t>above), or algebraically</w:t>
      </w:r>
      <w:r w:rsidR="00FA24BF">
        <w:rPr>
          <w:sz w:val="24"/>
          <w:szCs w:val="24"/>
        </w:rPr>
        <w:t>.  Graphically, if the line representing the relationship between observe</w:t>
      </w:r>
      <w:r w:rsidR="004E4F94">
        <w:rPr>
          <w:sz w:val="24"/>
          <w:szCs w:val="24"/>
        </w:rPr>
        <w:t>d</w:t>
      </w:r>
      <w:r w:rsidR="00FA24BF">
        <w:rPr>
          <w:sz w:val="24"/>
          <w:szCs w:val="24"/>
        </w:rPr>
        <w:t xml:space="preserve"> AEI and CI </w:t>
      </w:r>
      <w:proofErr w:type="gramStart"/>
      <w:r w:rsidR="00FA24BF">
        <w:rPr>
          <w:sz w:val="24"/>
          <w:szCs w:val="24"/>
        </w:rPr>
        <w:t>is</w:t>
      </w:r>
      <w:proofErr w:type="gramEnd"/>
      <w:r w:rsidR="00FA24BF">
        <w:rPr>
          <w:sz w:val="24"/>
          <w:szCs w:val="24"/>
        </w:rPr>
        <w:t xml:space="preserve"> plotted</w:t>
      </w:r>
      <w:r w:rsidR="00950DF2">
        <w:rPr>
          <w:sz w:val="24"/>
          <w:szCs w:val="24"/>
        </w:rPr>
        <w:t xml:space="preserve"> (as it is above)</w:t>
      </w:r>
      <w:r w:rsidR="009E31CB">
        <w:rPr>
          <w:sz w:val="24"/>
          <w:szCs w:val="24"/>
        </w:rPr>
        <w:t>,</w:t>
      </w:r>
      <w:r w:rsidR="00FA24BF">
        <w:rPr>
          <w:sz w:val="24"/>
          <w:szCs w:val="24"/>
        </w:rPr>
        <w:t xml:space="preserve"> there </w:t>
      </w:r>
      <w:r w:rsidR="00950DF2">
        <w:rPr>
          <w:sz w:val="24"/>
          <w:szCs w:val="24"/>
        </w:rPr>
        <w:t>is</w:t>
      </w:r>
      <w:r w:rsidR="00FA24BF">
        <w:rPr>
          <w:sz w:val="24"/>
          <w:szCs w:val="24"/>
        </w:rPr>
        <w:t xml:space="preserve"> a point where the observed AEI equals the CI of the mares to which the stallion is bred.  This occurs where the </w:t>
      </w:r>
      <w:r w:rsidR="0040795C">
        <w:rPr>
          <w:sz w:val="24"/>
          <w:szCs w:val="24"/>
        </w:rPr>
        <w:t>plotted AEI/CI line intersects the 45% angle line.  In the case above, eyeballing the line suggests that AEI and CI are equal at about 1.58 to 1.6.  This point can be determined more precisely by using algebra.</w:t>
      </w:r>
    </w:p>
    <w:p w:rsidR="0040795C" w:rsidRDefault="0040795C">
      <w:pPr>
        <w:rPr>
          <w:sz w:val="24"/>
          <w:szCs w:val="24"/>
        </w:rPr>
      </w:pPr>
    </w:p>
    <w:p w:rsidR="009249ED" w:rsidRDefault="00950DF2">
      <w:pPr>
        <w:rPr>
          <w:sz w:val="24"/>
          <w:szCs w:val="24"/>
        </w:rPr>
      </w:pPr>
      <w:r>
        <w:rPr>
          <w:sz w:val="24"/>
          <w:szCs w:val="24"/>
        </w:rPr>
        <w:t>U</w:t>
      </w:r>
      <w:r w:rsidR="00DC0866">
        <w:rPr>
          <w:sz w:val="24"/>
          <w:szCs w:val="24"/>
        </w:rPr>
        <w:t>sing the case where he generated an AEI of 1.66 when bred to 2.0 CI mares,</w:t>
      </w:r>
      <w:r w:rsidR="009249ED">
        <w:rPr>
          <w:sz w:val="24"/>
          <w:szCs w:val="24"/>
        </w:rPr>
        <w:t xml:space="preserve"> his observed AEI is </w:t>
      </w:r>
      <w:r w:rsidR="00DC0866">
        <w:rPr>
          <w:sz w:val="24"/>
          <w:szCs w:val="24"/>
        </w:rPr>
        <w:t>overstated when considering th</w:t>
      </w:r>
      <w:r>
        <w:rPr>
          <w:sz w:val="24"/>
          <w:szCs w:val="24"/>
        </w:rPr>
        <w:t xml:space="preserve">e 2.0 mares to which he was bred. </w:t>
      </w:r>
      <w:r w:rsidR="009249ED">
        <w:rPr>
          <w:sz w:val="24"/>
          <w:szCs w:val="24"/>
        </w:rPr>
        <w:t xml:space="preserve"> More precisely, </w:t>
      </w:r>
      <w:r w:rsidR="0040795C">
        <w:rPr>
          <w:sz w:val="24"/>
          <w:szCs w:val="24"/>
        </w:rPr>
        <w:t xml:space="preserve">if the slope of the AEI/CI plotted line is .16, then </w:t>
      </w:r>
      <w:r w:rsidR="009249ED">
        <w:rPr>
          <w:sz w:val="24"/>
          <w:szCs w:val="24"/>
        </w:rPr>
        <w:t xml:space="preserve">his true AEI is </w:t>
      </w:r>
      <w:r>
        <w:rPr>
          <w:sz w:val="24"/>
          <w:szCs w:val="24"/>
        </w:rPr>
        <w:t xml:space="preserve">overstated </w:t>
      </w:r>
      <w:r w:rsidR="009249ED">
        <w:rPr>
          <w:sz w:val="24"/>
          <w:szCs w:val="24"/>
        </w:rPr>
        <w:t>by .16 times the increment in mare CIs that exceeds his true AEI.  So:</w:t>
      </w:r>
    </w:p>
    <w:p w:rsidR="009249ED" w:rsidRDefault="009249ED">
      <w:pPr>
        <w:rPr>
          <w:sz w:val="24"/>
          <w:szCs w:val="24"/>
        </w:rPr>
      </w:pPr>
    </w:p>
    <w:p w:rsidR="009249ED" w:rsidRDefault="00BC2201">
      <w:pPr>
        <w:rPr>
          <w:sz w:val="24"/>
          <w:szCs w:val="24"/>
        </w:rPr>
      </w:pPr>
      <w:r>
        <w:rPr>
          <w:sz w:val="24"/>
          <w:szCs w:val="24"/>
        </w:rPr>
        <w:t>Observed AEI (</w:t>
      </w:r>
      <w:r w:rsidR="009249ED">
        <w:rPr>
          <w:sz w:val="24"/>
          <w:szCs w:val="24"/>
        </w:rPr>
        <w:t>1.66</w:t>
      </w:r>
      <w:r>
        <w:rPr>
          <w:sz w:val="24"/>
          <w:szCs w:val="24"/>
        </w:rPr>
        <w:t>)</w:t>
      </w:r>
      <w:r w:rsidR="009249ED">
        <w:rPr>
          <w:sz w:val="24"/>
          <w:szCs w:val="24"/>
        </w:rPr>
        <w:t xml:space="preserve"> = his true AEI</w:t>
      </w:r>
      <w:r>
        <w:rPr>
          <w:sz w:val="24"/>
          <w:szCs w:val="24"/>
        </w:rPr>
        <w:t xml:space="preserve"> + .16 x (difference between the CIs of mares to which he was bred and </w:t>
      </w:r>
      <w:r w:rsidRPr="00950DF2">
        <w:rPr>
          <w:b/>
          <w:sz w:val="24"/>
          <w:szCs w:val="24"/>
        </w:rPr>
        <w:t>mares with a CI equal to his true AEI</w:t>
      </w:r>
      <w:r>
        <w:rPr>
          <w:sz w:val="24"/>
          <w:szCs w:val="24"/>
        </w:rPr>
        <w:t>).   But</w:t>
      </w:r>
      <w:r w:rsidR="00950DF2">
        <w:rPr>
          <w:sz w:val="24"/>
          <w:szCs w:val="24"/>
        </w:rPr>
        <w:t>, since</w:t>
      </w:r>
      <w:r>
        <w:rPr>
          <w:sz w:val="24"/>
          <w:szCs w:val="24"/>
        </w:rPr>
        <w:t xml:space="preserve"> his true AEI equals the CI of mares when he produces foals with CIs equal to his AEI</w:t>
      </w:r>
      <w:r w:rsidR="00950DF2">
        <w:rPr>
          <w:sz w:val="24"/>
          <w:szCs w:val="24"/>
        </w:rPr>
        <w:t>, we can substitute “True AEI” for “mares with a CI equal to his true AEI</w:t>
      </w:r>
      <w:r>
        <w:rPr>
          <w:sz w:val="24"/>
          <w:szCs w:val="24"/>
        </w:rPr>
        <w:t>.  So:</w:t>
      </w:r>
    </w:p>
    <w:p w:rsidR="00BC2201" w:rsidRDefault="00BC2201">
      <w:pPr>
        <w:rPr>
          <w:sz w:val="24"/>
          <w:szCs w:val="24"/>
        </w:rPr>
      </w:pPr>
    </w:p>
    <w:p w:rsidR="00DC0866" w:rsidRDefault="00DC0866">
      <w:pPr>
        <w:rPr>
          <w:sz w:val="24"/>
          <w:szCs w:val="24"/>
        </w:rPr>
      </w:pPr>
      <w:r>
        <w:rPr>
          <w:sz w:val="24"/>
          <w:szCs w:val="24"/>
        </w:rPr>
        <w:t xml:space="preserve">Observed </w:t>
      </w:r>
      <w:proofErr w:type="gramStart"/>
      <w:r>
        <w:rPr>
          <w:sz w:val="24"/>
          <w:szCs w:val="24"/>
        </w:rPr>
        <w:t>AEI  =</w:t>
      </w:r>
      <w:proofErr w:type="gramEnd"/>
      <w:r>
        <w:rPr>
          <w:sz w:val="24"/>
          <w:szCs w:val="24"/>
        </w:rPr>
        <w:t xml:space="preserve"> True AEI</w:t>
      </w:r>
      <w:r w:rsidR="00576BCA">
        <w:rPr>
          <w:sz w:val="24"/>
          <w:szCs w:val="24"/>
        </w:rPr>
        <w:t xml:space="preserve"> + .16 x (2.0 – True AEI), and we have</w:t>
      </w:r>
    </w:p>
    <w:p w:rsidR="00BC2201" w:rsidRDefault="00BC2201">
      <w:pPr>
        <w:rPr>
          <w:sz w:val="24"/>
          <w:szCs w:val="24"/>
        </w:rPr>
      </w:pPr>
      <w:r>
        <w:rPr>
          <w:sz w:val="24"/>
          <w:szCs w:val="24"/>
        </w:rPr>
        <w:t>1.66</w:t>
      </w:r>
      <w:r w:rsidR="00DC0866">
        <w:rPr>
          <w:sz w:val="24"/>
          <w:szCs w:val="24"/>
        </w:rPr>
        <w:tab/>
      </w:r>
      <w:r w:rsidR="00DC0866">
        <w:rPr>
          <w:sz w:val="24"/>
          <w:szCs w:val="24"/>
        </w:rPr>
        <w:tab/>
      </w:r>
      <w:r>
        <w:rPr>
          <w:sz w:val="24"/>
          <w:szCs w:val="24"/>
        </w:rPr>
        <w:t xml:space="preserve"> </w:t>
      </w:r>
      <w:proofErr w:type="gramStart"/>
      <w:r>
        <w:rPr>
          <w:sz w:val="24"/>
          <w:szCs w:val="24"/>
        </w:rPr>
        <w:t xml:space="preserve">= </w:t>
      </w:r>
      <w:r w:rsidR="001B4D4A">
        <w:rPr>
          <w:sz w:val="24"/>
          <w:szCs w:val="24"/>
        </w:rPr>
        <w:t xml:space="preserve"> True</w:t>
      </w:r>
      <w:proofErr w:type="gramEnd"/>
      <w:r w:rsidR="001B4D4A">
        <w:rPr>
          <w:sz w:val="24"/>
          <w:szCs w:val="24"/>
        </w:rPr>
        <w:t xml:space="preserve"> AEI</w:t>
      </w:r>
      <w:r>
        <w:rPr>
          <w:sz w:val="24"/>
          <w:szCs w:val="24"/>
        </w:rPr>
        <w:t xml:space="preserve"> </w:t>
      </w:r>
      <w:r w:rsidR="00576BCA">
        <w:rPr>
          <w:sz w:val="24"/>
          <w:szCs w:val="24"/>
        </w:rPr>
        <w:t xml:space="preserve">    </w:t>
      </w:r>
      <w:r>
        <w:rPr>
          <w:sz w:val="24"/>
          <w:szCs w:val="24"/>
        </w:rPr>
        <w:t xml:space="preserve">+ .16 x (2.0 – </w:t>
      </w:r>
      <w:r w:rsidR="00576BCA">
        <w:rPr>
          <w:sz w:val="24"/>
          <w:szCs w:val="24"/>
        </w:rPr>
        <w:t xml:space="preserve">     </w:t>
      </w:r>
      <w:r w:rsidR="001B4D4A">
        <w:rPr>
          <w:sz w:val="24"/>
          <w:szCs w:val="24"/>
        </w:rPr>
        <w:t>True AEI</w:t>
      </w:r>
      <w:r>
        <w:rPr>
          <w:sz w:val="24"/>
          <w:szCs w:val="24"/>
        </w:rPr>
        <w:t>),</w:t>
      </w:r>
      <w:r w:rsidR="00576BCA">
        <w:rPr>
          <w:sz w:val="24"/>
          <w:szCs w:val="24"/>
        </w:rPr>
        <w:t xml:space="preserve">  </w:t>
      </w:r>
      <w:r w:rsidR="001B4D4A">
        <w:rPr>
          <w:sz w:val="24"/>
          <w:szCs w:val="24"/>
        </w:rPr>
        <w:t>thus</w:t>
      </w:r>
    </w:p>
    <w:p w:rsidR="00BC2201" w:rsidRDefault="001B4D4A">
      <w:pPr>
        <w:rPr>
          <w:sz w:val="24"/>
          <w:szCs w:val="24"/>
        </w:rPr>
      </w:pPr>
      <w:r>
        <w:rPr>
          <w:sz w:val="24"/>
          <w:szCs w:val="24"/>
        </w:rPr>
        <w:t>1.66 = True AEI + .32 - .16 True AEI</w:t>
      </w:r>
      <w:r w:rsidR="00BC2201">
        <w:rPr>
          <w:sz w:val="24"/>
          <w:szCs w:val="24"/>
        </w:rPr>
        <w:t>, and</w:t>
      </w:r>
    </w:p>
    <w:p w:rsidR="00BC2201" w:rsidRDefault="001B4D4A">
      <w:pPr>
        <w:rPr>
          <w:sz w:val="24"/>
          <w:szCs w:val="24"/>
        </w:rPr>
      </w:pPr>
      <w:r>
        <w:rPr>
          <w:sz w:val="24"/>
          <w:szCs w:val="24"/>
        </w:rPr>
        <w:t>1.34 = .84 True AEI</w:t>
      </w:r>
      <w:r w:rsidR="00BC2201">
        <w:rPr>
          <w:sz w:val="24"/>
          <w:szCs w:val="24"/>
        </w:rPr>
        <w:t>, and</w:t>
      </w:r>
    </w:p>
    <w:p w:rsidR="00BC2201" w:rsidRDefault="001B4D4A">
      <w:pPr>
        <w:rPr>
          <w:sz w:val="24"/>
          <w:szCs w:val="24"/>
        </w:rPr>
      </w:pPr>
      <w:r>
        <w:rPr>
          <w:sz w:val="24"/>
          <w:szCs w:val="24"/>
        </w:rPr>
        <w:t>True AEI</w:t>
      </w:r>
      <w:r w:rsidR="00BC2201">
        <w:rPr>
          <w:sz w:val="24"/>
          <w:szCs w:val="24"/>
        </w:rPr>
        <w:t xml:space="preserve"> = 1.34/</w:t>
      </w:r>
      <w:r w:rsidR="0040795C">
        <w:rPr>
          <w:sz w:val="24"/>
          <w:szCs w:val="24"/>
        </w:rPr>
        <w:t>.</w:t>
      </w:r>
      <w:r w:rsidR="00BC2201">
        <w:rPr>
          <w:sz w:val="24"/>
          <w:szCs w:val="24"/>
        </w:rPr>
        <w:t>84 = 1.59.</w:t>
      </w:r>
    </w:p>
    <w:p w:rsidR="00BC2201" w:rsidRDefault="00BC2201">
      <w:pPr>
        <w:rPr>
          <w:sz w:val="24"/>
          <w:szCs w:val="24"/>
        </w:rPr>
      </w:pPr>
    </w:p>
    <w:p w:rsidR="00BC2201" w:rsidRDefault="00BC2201">
      <w:pPr>
        <w:rPr>
          <w:sz w:val="24"/>
          <w:szCs w:val="24"/>
        </w:rPr>
      </w:pPr>
      <w:r>
        <w:rPr>
          <w:sz w:val="24"/>
          <w:szCs w:val="24"/>
        </w:rPr>
        <w:t>As you can see, this answer is consistent with the a</w:t>
      </w:r>
      <w:r w:rsidR="00576BCA">
        <w:rPr>
          <w:sz w:val="24"/>
          <w:szCs w:val="24"/>
        </w:rPr>
        <w:t>nswer one would estimate by</w:t>
      </w:r>
      <w:r>
        <w:rPr>
          <w:sz w:val="24"/>
          <w:szCs w:val="24"/>
        </w:rPr>
        <w:t xml:space="preserve"> using the </w:t>
      </w:r>
      <w:r w:rsidR="0059073F">
        <w:rPr>
          <w:sz w:val="24"/>
          <w:szCs w:val="24"/>
        </w:rPr>
        <w:t xml:space="preserve">eye-balled </w:t>
      </w:r>
      <w:r>
        <w:rPr>
          <w:sz w:val="24"/>
          <w:szCs w:val="24"/>
        </w:rPr>
        <w:t>graphical approach.</w:t>
      </w:r>
    </w:p>
    <w:p w:rsidR="00BC2201" w:rsidRPr="0059073F" w:rsidRDefault="00BC2201">
      <w:pPr>
        <w:rPr>
          <w:sz w:val="24"/>
          <w:szCs w:val="24"/>
        </w:rPr>
      </w:pPr>
    </w:p>
    <w:p w:rsidR="00E47A5B" w:rsidRDefault="00E47A5B"/>
    <w:p w:rsidR="00E47A5B" w:rsidRDefault="00E47A5B"/>
    <w:p w:rsidR="00E47A5B" w:rsidRPr="000C6C7A" w:rsidRDefault="000C6C7A">
      <w:pPr>
        <w:rPr>
          <w:b/>
          <w:sz w:val="24"/>
          <w:szCs w:val="24"/>
        </w:rPr>
      </w:pPr>
      <w:r w:rsidRPr="000C6C7A">
        <w:rPr>
          <w:b/>
          <w:sz w:val="24"/>
          <w:szCs w:val="24"/>
        </w:rPr>
        <w:t>2016 State of Affairs</w:t>
      </w:r>
    </w:p>
    <w:p w:rsidR="00CC231A" w:rsidRPr="00444B0B" w:rsidRDefault="000C6C7A">
      <w:pPr>
        <w:rPr>
          <w:b/>
          <w:color w:val="0070C0"/>
          <w:sz w:val="24"/>
          <w:szCs w:val="24"/>
        </w:rPr>
      </w:pPr>
      <w:r w:rsidRPr="00444B0B">
        <w:rPr>
          <w:b/>
          <w:color w:val="0070C0"/>
          <w:sz w:val="24"/>
          <w:szCs w:val="24"/>
        </w:rPr>
        <w:t xml:space="preserve">Between now and the late 1990s when the data for this study was collected, AEIs and CIs of stallions and mares have dropped significantly.  This is due in large part </w:t>
      </w:r>
      <w:r w:rsidR="00CC231A" w:rsidRPr="00444B0B">
        <w:rPr>
          <w:b/>
          <w:color w:val="0070C0"/>
          <w:sz w:val="24"/>
          <w:szCs w:val="24"/>
        </w:rPr>
        <w:t>to two changes in industry practice</w:t>
      </w:r>
      <w:r w:rsidR="00504373">
        <w:rPr>
          <w:b/>
          <w:color w:val="0070C0"/>
          <w:sz w:val="24"/>
          <w:szCs w:val="24"/>
        </w:rPr>
        <w:t>s</w:t>
      </w:r>
      <w:r w:rsidR="00CC231A" w:rsidRPr="00444B0B">
        <w:rPr>
          <w:b/>
          <w:color w:val="0070C0"/>
          <w:sz w:val="24"/>
          <w:szCs w:val="24"/>
        </w:rPr>
        <w:t xml:space="preserve">: </w:t>
      </w:r>
    </w:p>
    <w:p w:rsidR="00E47A5B" w:rsidRPr="00444B0B" w:rsidRDefault="00CC231A">
      <w:pPr>
        <w:rPr>
          <w:b/>
          <w:color w:val="0070C0"/>
          <w:sz w:val="24"/>
          <w:szCs w:val="24"/>
        </w:rPr>
      </w:pPr>
      <w:r w:rsidRPr="00444B0B">
        <w:rPr>
          <w:b/>
          <w:color w:val="0070C0"/>
          <w:sz w:val="24"/>
          <w:szCs w:val="24"/>
        </w:rPr>
        <w:lastRenderedPageBreak/>
        <w:t>1) Almost all trainers now give their runners a longer period between races, especially their top runners</w:t>
      </w:r>
      <w:r w:rsidR="000C6C7A" w:rsidRPr="00444B0B">
        <w:rPr>
          <w:b/>
          <w:color w:val="0070C0"/>
          <w:sz w:val="24"/>
          <w:szCs w:val="24"/>
        </w:rPr>
        <w:t xml:space="preserve">.  Top runners </w:t>
      </w:r>
      <w:r w:rsidRPr="00444B0B">
        <w:rPr>
          <w:b/>
          <w:color w:val="0070C0"/>
          <w:sz w:val="24"/>
          <w:szCs w:val="24"/>
        </w:rPr>
        <w:t>run (and win) fewer times each year, and their AEIs are lower as a result.</w:t>
      </w:r>
    </w:p>
    <w:p w:rsidR="00CC231A" w:rsidRPr="00444B0B" w:rsidRDefault="00243228">
      <w:pPr>
        <w:rPr>
          <w:b/>
          <w:color w:val="0070C0"/>
          <w:sz w:val="24"/>
          <w:szCs w:val="24"/>
        </w:rPr>
      </w:pPr>
      <w:r>
        <w:rPr>
          <w:b/>
          <w:color w:val="0070C0"/>
          <w:sz w:val="24"/>
          <w:szCs w:val="24"/>
        </w:rPr>
        <w:t xml:space="preserve">2) Mid-level, and even </w:t>
      </w:r>
      <w:proofErr w:type="spellStart"/>
      <w:r>
        <w:rPr>
          <w:b/>
          <w:color w:val="0070C0"/>
          <w:sz w:val="24"/>
          <w:szCs w:val="24"/>
        </w:rPr>
        <w:t>more</w:t>
      </w:r>
      <w:r w:rsidR="008B4977">
        <w:rPr>
          <w:b/>
          <w:color w:val="0070C0"/>
          <w:sz w:val="24"/>
          <w:szCs w:val="24"/>
        </w:rPr>
        <w:t>so</w:t>
      </w:r>
      <w:proofErr w:type="spellEnd"/>
      <w:r w:rsidR="00CC231A" w:rsidRPr="00444B0B">
        <w:rPr>
          <w:b/>
          <w:color w:val="0070C0"/>
          <w:sz w:val="24"/>
          <w:szCs w:val="24"/>
        </w:rPr>
        <w:t xml:space="preserve"> elite stallions</w:t>
      </w:r>
      <w:r w:rsidR="00444B0B">
        <w:rPr>
          <w:b/>
          <w:color w:val="0070C0"/>
          <w:sz w:val="24"/>
          <w:szCs w:val="24"/>
        </w:rPr>
        <w:t>,</w:t>
      </w:r>
      <w:r w:rsidR="00CC231A" w:rsidRPr="00444B0B">
        <w:rPr>
          <w:b/>
          <w:color w:val="0070C0"/>
          <w:sz w:val="24"/>
          <w:szCs w:val="24"/>
        </w:rPr>
        <w:t xml:space="preserve"> breed many more mares each year now than they did 15-20 years ago.  Necessarily, that means that top stallions </w:t>
      </w:r>
      <w:r w:rsidR="008B4977">
        <w:rPr>
          <w:b/>
          <w:color w:val="0070C0"/>
          <w:sz w:val="24"/>
          <w:szCs w:val="24"/>
        </w:rPr>
        <w:t xml:space="preserve">have </w:t>
      </w:r>
      <w:r w:rsidR="00CC231A" w:rsidRPr="00444B0B">
        <w:rPr>
          <w:b/>
          <w:color w:val="0070C0"/>
          <w:sz w:val="24"/>
          <w:szCs w:val="24"/>
        </w:rPr>
        <w:t>move</w:t>
      </w:r>
      <w:r w:rsidR="008B4977">
        <w:rPr>
          <w:b/>
          <w:color w:val="0070C0"/>
          <w:sz w:val="24"/>
          <w:szCs w:val="24"/>
        </w:rPr>
        <w:t>d</w:t>
      </w:r>
      <w:r w:rsidR="00CC231A" w:rsidRPr="00444B0B">
        <w:rPr>
          <w:b/>
          <w:color w:val="0070C0"/>
          <w:sz w:val="24"/>
          <w:szCs w:val="24"/>
        </w:rPr>
        <w:t xml:space="preserve"> down the mare quality chain, causing them to generate lower average earnings (and thus lower AEIs).</w:t>
      </w:r>
    </w:p>
    <w:p w:rsidR="00CC231A" w:rsidRPr="00444B0B" w:rsidRDefault="00CC231A">
      <w:pPr>
        <w:rPr>
          <w:b/>
          <w:color w:val="0070C0"/>
          <w:sz w:val="24"/>
          <w:szCs w:val="24"/>
        </w:rPr>
      </w:pPr>
      <w:r w:rsidRPr="00444B0B">
        <w:rPr>
          <w:b/>
          <w:color w:val="0070C0"/>
          <w:sz w:val="24"/>
          <w:szCs w:val="24"/>
        </w:rPr>
        <w:t xml:space="preserve">The combination of these two changes tends to compress AEIs and CIs, especially for mid-level and elite stallions.  I </w:t>
      </w:r>
      <w:r w:rsidR="00504373">
        <w:rPr>
          <w:b/>
          <w:color w:val="0070C0"/>
          <w:sz w:val="24"/>
          <w:szCs w:val="24"/>
        </w:rPr>
        <w:t>guess</w:t>
      </w:r>
      <w:r w:rsidRPr="00444B0B">
        <w:rPr>
          <w:b/>
          <w:color w:val="0070C0"/>
          <w:sz w:val="24"/>
          <w:szCs w:val="24"/>
        </w:rPr>
        <w:t xml:space="preserve">timate that as a result the slope of the AEI/CI line </w:t>
      </w:r>
      <w:r w:rsidR="00D93D61">
        <w:rPr>
          <w:b/>
          <w:color w:val="0070C0"/>
          <w:sz w:val="24"/>
          <w:szCs w:val="24"/>
        </w:rPr>
        <w:t xml:space="preserve">has decreased to approximately </w:t>
      </w:r>
      <w:r w:rsidRPr="00444B0B">
        <w:rPr>
          <w:b/>
          <w:color w:val="0070C0"/>
          <w:sz w:val="24"/>
          <w:szCs w:val="24"/>
        </w:rPr>
        <w:t>.1</w:t>
      </w:r>
      <w:r w:rsidR="00D93D61">
        <w:rPr>
          <w:b/>
          <w:color w:val="0070C0"/>
          <w:sz w:val="24"/>
          <w:szCs w:val="24"/>
        </w:rPr>
        <w:t>2</w:t>
      </w:r>
      <w:r w:rsidRPr="00444B0B">
        <w:rPr>
          <w:b/>
          <w:color w:val="0070C0"/>
          <w:sz w:val="24"/>
          <w:szCs w:val="24"/>
        </w:rPr>
        <w:t xml:space="preserve"> f</w:t>
      </w:r>
      <w:r w:rsidR="00D93D61">
        <w:rPr>
          <w:b/>
          <w:color w:val="0070C0"/>
          <w:sz w:val="24"/>
          <w:szCs w:val="24"/>
        </w:rPr>
        <w:t xml:space="preserve">rom its late-1990s estimate of </w:t>
      </w:r>
      <w:r w:rsidRPr="00444B0B">
        <w:rPr>
          <w:b/>
          <w:color w:val="0070C0"/>
          <w:sz w:val="24"/>
          <w:szCs w:val="24"/>
        </w:rPr>
        <w:t xml:space="preserve">.16.  This means that the formula for estimating the “True AEI” is now </w:t>
      </w:r>
      <w:r w:rsidR="00444B0B">
        <w:rPr>
          <w:b/>
          <w:color w:val="0070C0"/>
          <w:sz w:val="24"/>
          <w:szCs w:val="24"/>
        </w:rPr>
        <w:t xml:space="preserve">approximately </w:t>
      </w:r>
      <w:r w:rsidRPr="00444B0B">
        <w:rPr>
          <w:b/>
          <w:color w:val="0070C0"/>
          <w:sz w:val="24"/>
          <w:szCs w:val="24"/>
        </w:rPr>
        <w:t xml:space="preserve">as follows: </w:t>
      </w:r>
    </w:p>
    <w:p w:rsidR="00E47A5B" w:rsidRPr="00444B0B" w:rsidRDefault="00E47A5B">
      <w:pPr>
        <w:rPr>
          <w:b/>
          <w:color w:val="0070C0"/>
        </w:rPr>
      </w:pPr>
    </w:p>
    <w:p w:rsidR="0059073F" w:rsidRPr="00444B0B" w:rsidRDefault="0059073F" w:rsidP="0059073F">
      <w:pPr>
        <w:rPr>
          <w:b/>
          <w:color w:val="0070C0"/>
          <w:sz w:val="24"/>
          <w:szCs w:val="24"/>
        </w:rPr>
      </w:pPr>
    </w:p>
    <w:p w:rsidR="0059073F" w:rsidRPr="00444B0B" w:rsidRDefault="0059073F" w:rsidP="0059073F">
      <w:pPr>
        <w:rPr>
          <w:b/>
          <w:color w:val="0070C0"/>
          <w:sz w:val="24"/>
          <w:szCs w:val="24"/>
        </w:rPr>
      </w:pPr>
      <w:r w:rsidRPr="00444B0B">
        <w:rPr>
          <w:b/>
          <w:color w:val="0070C0"/>
          <w:sz w:val="24"/>
          <w:szCs w:val="24"/>
        </w:rPr>
        <w:t xml:space="preserve">Observed </w:t>
      </w:r>
      <w:proofErr w:type="gramStart"/>
      <w:r w:rsidRPr="00444B0B">
        <w:rPr>
          <w:b/>
          <w:color w:val="0070C0"/>
          <w:sz w:val="24"/>
          <w:szCs w:val="24"/>
        </w:rPr>
        <w:t>AEI  =</w:t>
      </w:r>
      <w:proofErr w:type="gramEnd"/>
      <w:r w:rsidRPr="00444B0B">
        <w:rPr>
          <w:b/>
          <w:color w:val="0070C0"/>
          <w:sz w:val="24"/>
          <w:szCs w:val="24"/>
        </w:rPr>
        <w:t xml:space="preserve"> his tr</w:t>
      </w:r>
      <w:r w:rsidR="00D93D61">
        <w:rPr>
          <w:b/>
          <w:color w:val="0070C0"/>
          <w:sz w:val="24"/>
          <w:szCs w:val="24"/>
        </w:rPr>
        <w:t>ue AEI + .12</w:t>
      </w:r>
      <w:r w:rsidRPr="00444B0B">
        <w:rPr>
          <w:b/>
          <w:color w:val="0070C0"/>
          <w:sz w:val="24"/>
          <w:szCs w:val="24"/>
        </w:rPr>
        <w:t xml:space="preserve"> x (difference between the CIs of mares to which he was bred and mares with a CI equal to his true AEI).  So, using a 2016 example, Into Mischief has a reported AEI of </w:t>
      </w:r>
      <w:r w:rsidR="00206020" w:rsidRPr="00444B0B">
        <w:rPr>
          <w:b/>
          <w:color w:val="0070C0"/>
          <w:sz w:val="24"/>
          <w:szCs w:val="24"/>
        </w:rPr>
        <w:t>2.59 and a reported CI of 1.45 in March 2016.</w:t>
      </w:r>
      <w:r w:rsidR="00C64EEC" w:rsidRPr="00444B0B">
        <w:rPr>
          <w:b/>
          <w:color w:val="0070C0"/>
          <w:sz w:val="24"/>
          <w:szCs w:val="24"/>
        </w:rPr>
        <w:t xml:space="preserve">  What is his “True AEI?”  Using the formula, it is</w:t>
      </w:r>
    </w:p>
    <w:p w:rsidR="00C64EEC" w:rsidRPr="00444B0B" w:rsidRDefault="00C64EEC" w:rsidP="0059073F">
      <w:pPr>
        <w:rPr>
          <w:b/>
          <w:color w:val="0070C0"/>
          <w:sz w:val="24"/>
          <w:szCs w:val="24"/>
        </w:rPr>
      </w:pPr>
      <w:r w:rsidRPr="00444B0B">
        <w:rPr>
          <w:b/>
          <w:color w:val="0070C0"/>
          <w:sz w:val="24"/>
          <w:szCs w:val="24"/>
        </w:rPr>
        <w:t>2.59 = True AEI + .1</w:t>
      </w:r>
      <w:r w:rsidR="00D93D61">
        <w:rPr>
          <w:b/>
          <w:color w:val="0070C0"/>
          <w:sz w:val="24"/>
          <w:szCs w:val="24"/>
        </w:rPr>
        <w:t xml:space="preserve">2 x </w:t>
      </w:r>
      <w:r w:rsidRPr="00444B0B">
        <w:rPr>
          <w:b/>
          <w:color w:val="0070C0"/>
          <w:sz w:val="24"/>
          <w:szCs w:val="24"/>
        </w:rPr>
        <w:t>(1.45 – True AEI</w:t>
      </w:r>
      <w:r w:rsidR="008B4977">
        <w:rPr>
          <w:b/>
          <w:color w:val="0070C0"/>
          <w:sz w:val="24"/>
          <w:szCs w:val="24"/>
        </w:rPr>
        <w:t xml:space="preserve"> *</w:t>
      </w:r>
      <w:r w:rsidRPr="00444B0B">
        <w:rPr>
          <w:b/>
          <w:color w:val="0070C0"/>
          <w:sz w:val="24"/>
          <w:szCs w:val="24"/>
        </w:rPr>
        <w:t>), or</w:t>
      </w:r>
    </w:p>
    <w:p w:rsidR="00C64EEC" w:rsidRPr="00444B0B" w:rsidRDefault="00C64EEC" w:rsidP="0059073F">
      <w:pPr>
        <w:rPr>
          <w:b/>
          <w:color w:val="0070C0"/>
          <w:sz w:val="24"/>
          <w:szCs w:val="24"/>
        </w:rPr>
      </w:pPr>
      <w:r w:rsidRPr="00444B0B">
        <w:rPr>
          <w:b/>
          <w:color w:val="0070C0"/>
          <w:sz w:val="24"/>
          <w:szCs w:val="24"/>
        </w:rPr>
        <w:t>2.59 = True AEI + .145 - .1</w:t>
      </w:r>
      <w:r w:rsidR="00D93D61">
        <w:rPr>
          <w:b/>
          <w:color w:val="0070C0"/>
          <w:sz w:val="24"/>
          <w:szCs w:val="24"/>
        </w:rPr>
        <w:t>2</w:t>
      </w:r>
      <w:r w:rsidRPr="00444B0B">
        <w:rPr>
          <w:b/>
          <w:color w:val="0070C0"/>
          <w:sz w:val="24"/>
          <w:szCs w:val="24"/>
        </w:rPr>
        <w:t xml:space="preserve"> x True AEI, or</w:t>
      </w:r>
    </w:p>
    <w:p w:rsidR="00C64EEC" w:rsidRPr="00444B0B" w:rsidRDefault="00D93D61" w:rsidP="0059073F">
      <w:pPr>
        <w:rPr>
          <w:b/>
          <w:color w:val="0070C0"/>
          <w:sz w:val="24"/>
          <w:szCs w:val="24"/>
        </w:rPr>
      </w:pPr>
      <w:r>
        <w:rPr>
          <w:b/>
          <w:color w:val="0070C0"/>
          <w:sz w:val="24"/>
          <w:szCs w:val="24"/>
        </w:rPr>
        <w:t>2.59 = .88</w:t>
      </w:r>
      <w:r w:rsidR="00C64EEC" w:rsidRPr="00444B0B">
        <w:rPr>
          <w:b/>
          <w:color w:val="0070C0"/>
          <w:sz w:val="24"/>
          <w:szCs w:val="24"/>
        </w:rPr>
        <w:t xml:space="preserve"> x True AEI + .145, or</w:t>
      </w:r>
    </w:p>
    <w:p w:rsidR="00C64EEC" w:rsidRPr="00444B0B" w:rsidRDefault="00C64EEC" w:rsidP="0059073F">
      <w:pPr>
        <w:rPr>
          <w:b/>
          <w:color w:val="0070C0"/>
          <w:sz w:val="24"/>
          <w:szCs w:val="24"/>
        </w:rPr>
      </w:pPr>
      <w:r w:rsidRPr="00444B0B">
        <w:rPr>
          <w:b/>
          <w:color w:val="0070C0"/>
          <w:sz w:val="24"/>
          <w:szCs w:val="24"/>
        </w:rPr>
        <w:t>2.59 – .145 = .9 x True AEI, or</w:t>
      </w:r>
    </w:p>
    <w:p w:rsidR="00C64EEC" w:rsidRPr="00444B0B" w:rsidRDefault="00D93D61" w:rsidP="0059073F">
      <w:pPr>
        <w:rPr>
          <w:b/>
          <w:color w:val="0070C0"/>
          <w:sz w:val="24"/>
          <w:szCs w:val="24"/>
        </w:rPr>
      </w:pPr>
      <w:r>
        <w:rPr>
          <w:b/>
          <w:color w:val="0070C0"/>
          <w:sz w:val="24"/>
          <w:szCs w:val="24"/>
        </w:rPr>
        <w:t>2.445 = .88</w:t>
      </w:r>
      <w:r w:rsidR="00C64EEC" w:rsidRPr="00444B0B">
        <w:rPr>
          <w:b/>
          <w:color w:val="0070C0"/>
          <w:sz w:val="24"/>
          <w:szCs w:val="24"/>
        </w:rPr>
        <w:t xml:space="preserve"> x True AEI, or</w:t>
      </w:r>
    </w:p>
    <w:p w:rsidR="00C64EEC" w:rsidRPr="00444B0B" w:rsidRDefault="00D93D61" w:rsidP="0059073F">
      <w:pPr>
        <w:rPr>
          <w:b/>
          <w:color w:val="0070C0"/>
          <w:sz w:val="24"/>
          <w:szCs w:val="24"/>
        </w:rPr>
      </w:pPr>
      <w:r>
        <w:rPr>
          <w:b/>
          <w:color w:val="0070C0"/>
          <w:sz w:val="24"/>
          <w:szCs w:val="24"/>
        </w:rPr>
        <w:t>2.445/.88</w:t>
      </w:r>
      <w:r w:rsidR="00C64EEC" w:rsidRPr="00444B0B">
        <w:rPr>
          <w:b/>
          <w:color w:val="0070C0"/>
          <w:sz w:val="24"/>
          <w:szCs w:val="24"/>
        </w:rPr>
        <w:t xml:space="preserve"> = True AEI, or </w:t>
      </w:r>
    </w:p>
    <w:p w:rsidR="00C64EEC" w:rsidRDefault="00D93D61" w:rsidP="0059073F">
      <w:pPr>
        <w:rPr>
          <w:b/>
          <w:color w:val="0070C0"/>
          <w:sz w:val="24"/>
          <w:szCs w:val="24"/>
        </w:rPr>
      </w:pPr>
      <w:r>
        <w:rPr>
          <w:b/>
          <w:color w:val="0070C0"/>
          <w:sz w:val="24"/>
          <w:szCs w:val="24"/>
        </w:rPr>
        <w:t>2.78</w:t>
      </w:r>
      <w:r w:rsidR="00C64EEC" w:rsidRPr="00444B0B">
        <w:rPr>
          <w:b/>
          <w:color w:val="0070C0"/>
          <w:sz w:val="24"/>
          <w:szCs w:val="24"/>
        </w:rPr>
        <w:t xml:space="preserve"> = True AEI</w:t>
      </w:r>
      <w:r>
        <w:rPr>
          <w:b/>
          <w:color w:val="0070C0"/>
          <w:sz w:val="24"/>
          <w:szCs w:val="24"/>
        </w:rPr>
        <w:t xml:space="preserve"> </w:t>
      </w:r>
    </w:p>
    <w:p w:rsidR="00D93D61" w:rsidRDefault="00D93D61" w:rsidP="0059073F">
      <w:pPr>
        <w:rPr>
          <w:b/>
          <w:color w:val="0070C0"/>
          <w:sz w:val="24"/>
          <w:szCs w:val="24"/>
        </w:rPr>
      </w:pPr>
    </w:p>
    <w:p w:rsidR="00D93D61" w:rsidRPr="00444B0B" w:rsidRDefault="00D93D61" w:rsidP="0059073F">
      <w:pPr>
        <w:rPr>
          <w:b/>
          <w:color w:val="0070C0"/>
          <w:sz w:val="24"/>
          <w:szCs w:val="24"/>
        </w:rPr>
      </w:pPr>
      <w:r>
        <w:rPr>
          <w:b/>
          <w:color w:val="0070C0"/>
          <w:sz w:val="24"/>
          <w:szCs w:val="24"/>
        </w:rPr>
        <w:t xml:space="preserve">The algebraic estimate of Into Mischief’s True AEI is almost .20 points higher than his reported AEI.  </w:t>
      </w:r>
    </w:p>
    <w:p w:rsidR="00C64EEC" w:rsidRPr="00444B0B" w:rsidRDefault="00C64EEC" w:rsidP="0059073F">
      <w:pPr>
        <w:rPr>
          <w:b/>
          <w:color w:val="0070C0"/>
          <w:sz w:val="24"/>
          <w:szCs w:val="24"/>
        </w:rPr>
      </w:pPr>
    </w:p>
    <w:p w:rsidR="00C64EEC" w:rsidRDefault="00D93D61" w:rsidP="0059073F">
      <w:pPr>
        <w:rPr>
          <w:sz w:val="24"/>
          <w:szCs w:val="24"/>
        </w:rPr>
      </w:pPr>
      <w:r>
        <w:rPr>
          <w:sz w:val="24"/>
          <w:szCs w:val="24"/>
        </w:rPr>
        <w:t>*Recall</w:t>
      </w:r>
      <w:r w:rsidR="008B4977" w:rsidRPr="008B4977">
        <w:rPr>
          <w:sz w:val="24"/>
          <w:szCs w:val="24"/>
        </w:rPr>
        <w:t xml:space="preserve"> that at the point where</w:t>
      </w:r>
      <w:r w:rsidR="008B4977">
        <w:rPr>
          <w:sz w:val="24"/>
          <w:szCs w:val="24"/>
        </w:rPr>
        <w:t xml:space="preserve"> a stallion neither moves up nor moves down his mares, his AEI should equal the CI of mares bred to him.</w:t>
      </w:r>
      <w:r w:rsidR="008B4977" w:rsidRPr="008B4977">
        <w:rPr>
          <w:sz w:val="24"/>
          <w:szCs w:val="24"/>
        </w:rPr>
        <w:t xml:space="preserve"> </w:t>
      </w:r>
    </w:p>
    <w:p w:rsidR="00D84A4F" w:rsidRDefault="00D84A4F" w:rsidP="0059073F">
      <w:pPr>
        <w:rPr>
          <w:sz w:val="24"/>
          <w:szCs w:val="24"/>
        </w:rPr>
      </w:pPr>
    </w:p>
    <w:p w:rsidR="00D84A4F" w:rsidRPr="00504373" w:rsidRDefault="00D84A4F" w:rsidP="0059073F">
      <w:pPr>
        <w:rPr>
          <w:b/>
          <w:sz w:val="24"/>
          <w:szCs w:val="24"/>
        </w:rPr>
      </w:pPr>
      <w:r w:rsidRPr="00504373">
        <w:rPr>
          <w:b/>
          <w:sz w:val="24"/>
          <w:szCs w:val="24"/>
        </w:rPr>
        <w:t>An example of the data for an individual stallion appears on the following page.</w:t>
      </w:r>
    </w:p>
    <w:p w:rsidR="00E47A5B" w:rsidRPr="00504373" w:rsidRDefault="00E47A5B">
      <w:pPr>
        <w:rPr>
          <w:sz w:val="24"/>
          <w:szCs w:val="24"/>
        </w:rPr>
      </w:pPr>
    </w:p>
    <w:p w:rsidR="00504373" w:rsidRPr="00504373" w:rsidRDefault="00504373">
      <w:pPr>
        <w:rPr>
          <w:sz w:val="24"/>
          <w:szCs w:val="24"/>
        </w:rPr>
      </w:pPr>
      <w:r w:rsidRPr="00504373">
        <w:rPr>
          <w:sz w:val="24"/>
          <w:szCs w:val="24"/>
        </w:rPr>
        <w:t>This</w:t>
      </w:r>
      <w:r>
        <w:rPr>
          <w:sz w:val="24"/>
          <w:szCs w:val="24"/>
        </w:rPr>
        <w:t xml:space="preserve"> example reports CIs and AEIs by </w:t>
      </w:r>
      <w:proofErr w:type="spellStart"/>
      <w:r>
        <w:rPr>
          <w:sz w:val="24"/>
          <w:szCs w:val="24"/>
        </w:rPr>
        <w:t>decile</w:t>
      </w:r>
      <w:proofErr w:type="spellEnd"/>
      <w:r>
        <w:rPr>
          <w:sz w:val="24"/>
          <w:szCs w:val="24"/>
        </w:rPr>
        <w:t xml:space="preserve"> for </w:t>
      </w:r>
      <w:proofErr w:type="spellStart"/>
      <w:r>
        <w:rPr>
          <w:sz w:val="24"/>
          <w:szCs w:val="24"/>
        </w:rPr>
        <w:t>Dynaformer</w:t>
      </w:r>
      <w:proofErr w:type="spellEnd"/>
      <w:r>
        <w:rPr>
          <w:sz w:val="24"/>
          <w:szCs w:val="24"/>
        </w:rPr>
        <w:t xml:space="preserve"> when his seventh </w:t>
      </w:r>
      <w:proofErr w:type="gramStart"/>
      <w:r>
        <w:rPr>
          <w:sz w:val="24"/>
          <w:szCs w:val="24"/>
        </w:rPr>
        <w:t>crop were</w:t>
      </w:r>
      <w:proofErr w:type="gramEnd"/>
      <w:r>
        <w:rPr>
          <w:sz w:val="24"/>
          <w:szCs w:val="24"/>
        </w:rPr>
        <w:t xml:space="preserve"> two-year olds.  There is a substantial degree of randomness in the data, in part because</w:t>
      </w:r>
      <w:r w:rsidR="00080AB1">
        <w:rPr>
          <w:sz w:val="24"/>
          <w:szCs w:val="24"/>
        </w:rPr>
        <w:t xml:space="preserve"> of the relatively small sample size (average crop size of 53) from the first seven crops.  The AEI/CI relationship would be expected to be become slightly less variable for </w:t>
      </w:r>
      <w:proofErr w:type="spellStart"/>
      <w:r w:rsidR="00080AB1">
        <w:rPr>
          <w:sz w:val="24"/>
          <w:szCs w:val="24"/>
        </w:rPr>
        <w:t>Dynaformer</w:t>
      </w:r>
      <w:proofErr w:type="spellEnd"/>
      <w:r w:rsidR="00080AB1">
        <w:rPr>
          <w:sz w:val="24"/>
          <w:szCs w:val="24"/>
        </w:rPr>
        <w:t xml:space="preserve"> each succeeding year.</w:t>
      </w:r>
    </w:p>
    <w:p w:rsidR="00D84A4F" w:rsidRPr="00504373" w:rsidRDefault="00D84A4F" w:rsidP="00D84A4F">
      <w:pPr>
        <w:spacing w:line="360" w:lineRule="auto"/>
        <w:ind w:right="-270" w:firstLine="720"/>
        <w:rPr>
          <w:sz w:val="24"/>
          <w:szCs w:val="24"/>
        </w:rPr>
      </w:pPr>
    </w:p>
    <w:p w:rsidR="00D84A4F" w:rsidRPr="00504373" w:rsidRDefault="00D84A4F" w:rsidP="00D84A4F">
      <w:pPr>
        <w:spacing w:line="360" w:lineRule="auto"/>
        <w:ind w:right="-270" w:firstLine="720"/>
        <w:rPr>
          <w:sz w:val="24"/>
          <w:szCs w:val="24"/>
        </w:rPr>
      </w:pPr>
    </w:p>
    <w:p w:rsidR="00D84A4F" w:rsidRDefault="00D84A4F" w:rsidP="00D84A4F">
      <w:pPr>
        <w:spacing w:line="360" w:lineRule="auto"/>
        <w:ind w:right="-270" w:firstLine="720"/>
        <w:rPr>
          <w:sz w:val="24"/>
        </w:rPr>
      </w:pPr>
    </w:p>
    <w:p w:rsidR="00D84A4F" w:rsidRDefault="00D84A4F" w:rsidP="00D84A4F">
      <w:pPr>
        <w:spacing w:line="360" w:lineRule="auto"/>
        <w:ind w:right="-270" w:firstLine="720"/>
        <w:rPr>
          <w:sz w:val="24"/>
        </w:rPr>
      </w:pPr>
    </w:p>
    <w:p w:rsidR="00D84A4F" w:rsidRDefault="00D84A4F" w:rsidP="00D84A4F">
      <w:pPr>
        <w:spacing w:line="360" w:lineRule="auto"/>
        <w:ind w:right="-270" w:firstLine="720"/>
        <w:rPr>
          <w:sz w:val="24"/>
        </w:rPr>
      </w:pPr>
    </w:p>
    <w:p w:rsidR="00D84A4F" w:rsidRDefault="00D84A4F" w:rsidP="00D84A4F">
      <w:pPr>
        <w:spacing w:line="360" w:lineRule="auto"/>
        <w:ind w:right="-270" w:firstLine="720"/>
        <w:rPr>
          <w:sz w:val="24"/>
        </w:rPr>
      </w:pPr>
    </w:p>
    <w:p w:rsidR="00D84A4F" w:rsidRPr="00405230" w:rsidRDefault="00D84A4F" w:rsidP="00D84A4F">
      <w:pPr>
        <w:pStyle w:val="Heading7"/>
        <w:ind w:right="-270" w:firstLine="0"/>
        <w:rPr>
          <w:sz w:val="32"/>
          <w:szCs w:val="32"/>
        </w:rPr>
      </w:pPr>
      <w:r w:rsidRPr="00405230">
        <w:rPr>
          <w:sz w:val="32"/>
          <w:szCs w:val="32"/>
        </w:rPr>
        <w:lastRenderedPageBreak/>
        <w:t xml:space="preserve">        TABLE 1: AEI/CI Relationships for DYNAFORMER</w:t>
      </w:r>
      <w:r w:rsidR="00024C81">
        <w:rPr>
          <w:sz w:val="32"/>
          <w:szCs w:val="32"/>
        </w:rPr>
        <w:t xml:space="preserve"> in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342"/>
        <w:gridCol w:w="1908"/>
        <w:gridCol w:w="72"/>
        <w:gridCol w:w="1980"/>
        <w:gridCol w:w="468"/>
        <w:gridCol w:w="2250"/>
      </w:tblGrid>
      <w:tr w:rsidR="00D84A4F" w:rsidRPr="00405230" w:rsidTr="00B64A9C">
        <w:tblPrEx>
          <w:tblCellMar>
            <w:top w:w="0" w:type="dxa"/>
            <w:bottom w:w="0" w:type="dxa"/>
          </w:tblCellMar>
        </w:tblPrEx>
        <w:trPr>
          <w:gridAfter w:val="2"/>
          <w:wAfter w:w="2718" w:type="dxa"/>
          <w:trHeight w:hRule="exact" w:val="40"/>
          <w:jc w:val="center"/>
        </w:trPr>
        <w:tc>
          <w:tcPr>
            <w:tcW w:w="1800" w:type="dxa"/>
            <w:gridSpan w:val="2"/>
          </w:tcPr>
          <w:p w:rsidR="00D84A4F" w:rsidRPr="00405230" w:rsidRDefault="00D84A4F" w:rsidP="00B64A9C">
            <w:pPr>
              <w:pStyle w:val="Heading1"/>
              <w:spacing w:line="360" w:lineRule="auto"/>
              <w:ind w:right="-270"/>
              <w:rPr>
                <w:sz w:val="32"/>
                <w:szCs w:val="32"/>
              </w:rPr>
            </w:pPr>
            <w:r w:rsidRPr="00405230">
              <w:rPr>
                <w:sz w:val="32"/>
                <w:szCs w:val="32"/>
              </w:rPr>
              <w:t>DECILE</w:t>
            </w:r>
          </w:p>
        </w:tc>
        <w:tc>
          <w:tcPr>
            <w:tcW w:w="1980" w:type="dxa"/>
            <w:gridSpan w:val="2"/>
          </w:tcPr>
          <w:p w:rsidR="00D84A4F" w:rsidRPr="00405230" w:rsidRDefault="00D84A4F" w:rsidP="00B64A9C">
            <w:pPr>
              <w:spacing w:line="360" w:lineRule="auto"/>
              <w:ind w:right="-270"/>
              <w:jc w:val="center"/>
              <w:rPr>
                <w:b/>
                <w:sz w:val="32"/>
                <w:szCs w:val="32"/>
              </w:rPr>
            </w:pPr>
            <w:r w:rsidRPr="00405230">
              <w:rPr>
                <w:b/>
                <w:sz w:val="32"/>
                <w:szCs w:val="32"/>
              </w:rPr>
              <w:t>AEI</w:t>
            </w:r>
          </w:p>
        </w:tc>
        <w:tc>
          <w:tcPr>
            <w:tcW w:w="1980" w:type="dxa"/>
          </w:tcPr>
          <w:p w:rsidR="00D84A4F" w:rsidRPr="00405230" w:rsidRDefault="00D84A4F" w:rsidP="00B64A9C">
            <w:pPr>
              <w:spacing w:line="360" w:lineRule="auto"/>
              <w:ind w:right="-270"/>
              <w:jc w:val="center"/>
              <w:rPr>
                <w:b/>
                <w:sz w:val="32"/>
                <w:szCs w:val="32"/>
              </w:rPr>
            </w:pPr>
            <w:r w:rsidRPr="00405230">
              <w:rPr>
                <w:b/>
                <w:sz w:val="32"/>
                <w:szCs w:val="32"/>
              </w:rPr>
              <w:t>CI</w:t>
            </w:r>
          </w:p>
        </w:tc>
      </w:tr>
      <w:tr w:rsidR="00D84A4F" w:rsidRPr="00405230" w:rsidTr="00B64A9C">
        <w:tblPrEx>
          <w:jc w:val="left"/>
          <w:tblCellMar>
            <w:top w:w="0" w:type="dxa"/>
            <w:bottom w:w="0" w:type="dxa"/>
          </w:tblCellMar>
        </w:tblPrEx>
        <w:trPr>
          <w:gridBefore w:val="1"/>
          <w:wBefore w:w="1458" w:type="dxa"/>
          <w:trHeight w:val="458"/>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CI</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AEI</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r w:rsidRPr="00405230">
              <w:rPr>
                <w:sz w:val="32"/>
                <w:szCs w:val="32"/>
              </w:rPr>
              <w:t>Lowest CI</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.20</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1.06</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2</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.47</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1.59</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3</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 xml:space="preserve"> .66</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1.28</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4</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 xml:space="preserve"> .85</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1.20</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5</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1.00</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 xml:space="preserve"> .91</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6</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1.26</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1.20</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7</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1.49</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2.62</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8</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1.86</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1.98</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proofErr w:type="spellStart"/>
            <w:r w:rsidRPr="00405230">
              <w:rPr>
                <w:sz w:val="32"/>
                <w:szCs w:val="32"/>
              </w:rPr>
              <w:t>Decile</w:t>
            </w:r>
            <w:proofErr w:type="spellEnd"/>
            <w:r w:rsidRPr="00405230">
              <w:rPr>
                <w:sz w:val="32"/>
                <w:szCs w:val="32"/>
              </w:rPr>
              <w:t xml:space="preserve"> 9</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2.29</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2.31</w:t>
            </w:r>
          </w:p>
        </w:tc>
      </w:tr>
      <w:tr w:rsidR="00D84A4F" w:rsidRPr="00405230" w:rsidTr="00B64A9C">
        <w:tblPrEx>
          <w:jc w:val="left"/>
          <w:tblCellMar>
            <w:top w:w="0" w:type="dxa"/>
            <w:bottom w:w="0" w:type="dxa"/>
          </w:tblCellMar>
        </w:tblPrEx>
        <w:trPr>
          <w:gridBefore w:val="1"/>
          <w:wBefore w:w="1458" w:type="dxa"/>
        </w:trPr>
        <w:tc>
          <w:tcPr>
            <w:tcW w:w="2250" w:type="dxa"/>
            <w:gridSpan w:val="2"/>
          </w:tcPr>
          <w:p w:rsidR="00D84A4F" w:rsidRPr="00405230" w:rsidRDefault="00D84A4F" w:rsidP="00B64A9C">
            <w:pPr>
              <w:spacing w:line="360" w:lineRule="auto"/>
              <w:ind w:right="-270"/>
              <w:jc w:val="center"/>
              <w:rPr>
                <w:sz w:val="32"/>
                <w:szCs w:val="32"/>
              </w:rPr>
            </w:pPr>
            <w:r w:rsidRPr="00405230">
              <w:rPr>
                <w:sz w:val="32"/>
                <w:szCs w:val="32"/>
              </w:rPr>
              <w:t>Highest CI</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4.52</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3.58</w:t>
            </w:r>
          </w:p>
        </w:tc>
      </w:tr>
      <w:tr w:rsidR="00D84A4F" w:rsidRPr="00405230" w:rsidTr="00B64A9C">
        <w:tblPrEx>
          <w:jc w:val="left"/>
          <w:tblCellMar>
            <w:top w:w="0" w:type="dxa"/>
            <w:bottom w:w="0" w:type="dxa"/>
          </w:tblCellMar>
        </w:tblPrEx>
        <w:trPr>
          <w:gridBefore w:val="1"/>
          <w:wBefore w:w="1458" w:type="dxa"/>
          <w:trHeight w:val="440"/>
        </w:trPr>
        <w:tc>
          <w:tcPr>
            <w:tcW w:w="2250" w:type="dxa"/>
            <w:gridSpan w:val="2"/>
          </w:tcPr>
          <w:p w:rsidR="00D84A4F" w:rsidRPr="00405230" w:rsidRDefault="00D84A4F" w:rsidP="00B64A9C">
            <w:pPr>
              <w:spacing w:line="360" w:lineRule="auto"/>
              <w:ind w:right="-270"/>
              <w:jc w:val="center"/>
              <w:rPr>
                <w:sz w:val="32"/>
                <w:szCs w:val="32"/>
              </w:rPr>
            </w:pPr>
            <w:r w:rsidRPr="00405230">
              <w:rPr>
                <w:sz w:val="32"/>
                <w:szCs w:val="32"/>
              </w:rPr>
              <w:t>No CI</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 xml:space="preserve">Not used   </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 xml:space="preserve">Not used  </w:t>
            </w:r>
          </w:p>
        </w:tc>
      </w:tr>
      <w:tr w:rsidR="00D84A4F" w:rsidRPr="00405230" w:rsidTr="00B64A9C">
        <w:tblPrEx>
          <w:jc w:val="left"/>
          <w:tblCellMar>
            <w:top w:w="0" w:type="dxa"/>
            <w:bottom w:w="0" w:type="dxa"/>
          </w:tblCellMar>
        </w:tblPrEx>
        <w:trPr>
          <w:gridBefore w:val="1"/>
          <w:wBefore w:w="1458" w:type="dxa"/>
          <w:trHeight w:val="440"/>
        </w:trPr>
        <w:tc>
          <w:tcPr>
            <w:tcW w:w="2250" w:type="dxa"/>
            <w:gridSpan w:val="2"/>
          </w:tcPr>
          <w:p w:rsidR="00D84A4F" w:rsidRPr="00405230" w:rsidRDefault="00D84A4F" w:rsidP="00B64A9C">
            <w:pPr>
              <w:spacing w:line="360" w:lineRule="auto"/>
              <w:ind w:right="-270"/>
              <w:jc w:val="center"/>
              <w:rPr>
                <w:sz w:val="32"/>
                <w:szCs w:val="32"/>
              </w:rPr>
            </w:pPr>
            <w:r w:rsidRPr="00405230">
              <w:rPr>
                <w:sz w:val="32"/>
                <w:szCs w:val="32"/>
              </w:rPr>
              <w:t xml:space="preserve">10 </w:t>
            </w:r>
            <w:proofErr w:type="spellStart"/>
            <w:r w:rsidRPr="00405230">
              <w:rPr>
                <w:sz w:val="32"/>
                <w:szCs w:val="32"/>
              </w:rPr>
              <w:t>Decile</w:t>
            </w:r>
            <w:proofErr w:type="spellEnd"/>
            <w:r w:rsidRPr="00405230">
              <w:rPr>
                <w:sz w:val="32"/>
                <w:szCs w:val="32"/>
              </w:rPr>
              <w:t xml:space="preserve"> Mean</w:t>
            </w:r>
          </w:p>
        </w:tc>
        <w:tc>
          <w:tcPr>
            <w:tcW w:w="2520" w:type="dxa"/>
            <w:gridSpan w:val="3"/>
          </w:tcPr>
          <w:p w:rsidR="00D84A4F" w:rsidRPr="00405230" w:rsidRDefault="00D84A4F" w:rsidP="00B64A9C">
            <w:pPr>
              <w:spacing w:line="360" w:lineRule="auto"/>
              <w:ind w:right="-270"/>
              <w:jc w:val="center"/>
              <w:rPr>
                <w:sz w:val="32"/>
                <w:szCs w:val="32"/>
              </w:rPr>
            </w:pPr>
            <w:r w:rsidRPr="00405230">
              <w:rPr>
                <w:sz w:val="32"/>
                <w:szCs w:val="32"/>
              </w:rPr>
              <w:t>1.46</w:t>
            </w:r>
          </w:p>
        </w:tc>
        <w:tc>
          <w:tcPr>
            <w:tcW w:w="2250" w:type="dxa"/>
          </w:tcPr>
          <w:p w:rsidR="00D84A4F" w:rsidRPr="00405230" w:rsidRDefault="00D84A4F" w:rsidP="00B64A9C">
            <w:pPr>
              <w:spacing w:line="360" w:lineRule="auto"/>
              <w:ind w:right="-270"/>
              <w:jc w:val="center"/>
              <w:rPr>
                <w:sz w:val="32"/>
                <w:szCs w:val="32"/>
              </w:rPr>
            </w:pPr>
            <w:r w:rsidRPr="00405230">
              <w:rPr>
                <w:sz w:val="32"/>
                <w:szCs w:val="32"/>
              </w:rPr>
              <w:t>1.77</w:t>
            </w:r>
          </w:p>
        </w:tc>
      </w:tr>
    </w:tbl>
    <w:p w:rsidR="00D84A4F" w:rsidRDefault="00D84A4F"/>
    <w:p w:rsidR="00E47A5B" w:rsidRDefault="00E47A5B"/>
    <w:p w:rsidR="008C2E86" w:rsidRDefault="008C2E86"/>
    <w:p w:rsidR="008C2E86" w:rsidRDefault="008C2E86"/>
    <w:p w:rsidR="008C2E86" w:rsidRDefault="008C2E86"/>
    <w:p w:rsidR="00041467" w:rsidRDefault="00041467"/>
    <w:sectPr w:rsidR="00041467" w:rsidSect="003B2E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A3" w:rsidRDefault="00797FA3" w:rsidP="000A66CF">
      <w:r>
        <w:separator/>
      </w:r>
    </w:p>
  </w:endnote>
  <w:endnote w:type="continuationSeparator" w:id="0">
    <w:p w:rsidR="00797FA3" w:rsidRDefault="00797FA3" w:rsidP="000A6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A3" w:rsidRDefault="00797FA3" w:rsidP="000A66CF">
      <w:r>
        <w:separator/>
      </w:r>
    </w:p>
  </w:footnote>
  <w:footnote w:type="continuationSeparator" w:id="0">
    <w:p w:rsidR="00797FA3" w:rsidRDefault="00797FA3" w:rsidP="000A66CF">
      <w:r>
        <w:continuationSeparator/>
      </w:r>
    </w:p>
  </w:footnote>
  <w:footnote w:id="1">
    <w:p w:rsidR="000A66CF" w:rsidRDefault="000A66CF">
      <w:pPr>
        <w:pStyle w:val="FootnoteText"/>
      </w:pPr>
      <w:r>
        <w:rPr>
          <w:rStyle w:val="FootnoteReference"/>
        </w:rPr>
        <w:footnoteRef/>
      </w:r>
      <w:r>
        <w:t xml:space="preserve"> The plotted slope of the AEI/CI line varies from stallion to stallion, but </w:t>
      </w:r>
      <w:r w:rsidR="00557C8A">
        <w:t xml:space="preserve">results </w:t>
      </w:r>
      <w:r w:rsidR="004C6BF9">
        <w:t>tended</w:t>
      </w:r>
      <w:r>
        <w:t xml:space="preserve"> to c</w:t>
      </w:r>
      <w:r w:rsidR="00557C8A">
        <w:t>luster around the .16 slope</w:t>
      </w:r>
      <w:r>
        <w:t xml:space="preserve"> for stallions with </w:t>
      </w:r>
      <w:r w:rsidR="004E4F94">
        <w:t xml:space="preserve">both </w:t>
      </w:r>
      <w:r>
        <w:t xml:space="preserve">high and low AEIs.  Though it is </w:t>
      </w:r>
      <w:r w:rsidR="00557C8A">
        <w:t>arguable</w:t>
      </w:r>
      <w:r>
        <w:t xml:space="preserve"> that a particular stallion might legitimately have an AEI/CI slope that is different from .16, it seems more reasonable to this author to attribute most, if not all the differences in observed slopes for individual stallion AEI/CI lines to randomness in the data.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1467"/>
    <w:rsid w:val="00014877"/>
    <w:rsid w:val="00024C81"/>
    <w:rsid w:val="00033DA5"/>
    <w:rsid w:val="00041467"/>
    <w:rsid w:val="00080AB1"/>
    <w:rsid w:val="00081F6A"/>
    <w:rsid w:val="000A66CF"/>
    <w:rsid w:val="000C6C7A"/>
    <w:rsid w:val="001A3D9E"/>
    <w:rsid w:val="001B4D4A"/>
    <w:rsid w:val="00206020"/>
    <w:rsid w:val="00243228"/>
    <w:rsid w:val="002F3194"/>
    <w:rsid w:val="003B2E68"/>
    <w:rsid w:val="003B5626"/>
    <w:rsid w:val="003F0470"/>
    <w:rsid w:val="0040795C"/>
    <w:rsid w:val="00433DCC"/>
    <w:rsid w:val="00444B0B"/>
    <w:rsid w:val="004C6BF9"/>
    <w:rsid w:val="004D2AB7"/>
    <w:rsid w:val="004E3371"/>
    <w:rsid w:val="004E3A4D"/>
    <w:rsid w:val="004E4F94"/>
    <w:rsid w:val="00504373"/>
    <w:rsid w:val="00557C8A"/>
    <w:rsid w:val="00576BCA"/>
    <w:rsid w:val="0059073F"/>
    <w:rsid w:val="005D28B4"/>
    <w:rsid w:val="005D377F"/>
    <w:rsid w:val="005D5D99"/>
    <w:rsid w:val="00643687"/>
    <w:rsid w:val="00693857"/>
    <w:rsid w:val="006C1172"/>
    <w:rsid w:val="00797FA3"/>
    <w:rsid w:val="007F28A9"/>
    <w:rsid w:val="0085629F"/>
    <w:rsid w:val="00887BA5"/>
    <w:rsid w:val="008B4977"/>
    <w:rsid w:val="008C2E86"/>
    <w:rsid w:val="009217E0"/>
    <w:rsid w:val="009249ED"/>
    <w:rsid w:val="00950DF2"/>
    <w:rsid w:val="009C4BE8"/>
    <w:rsid w:val="009D13C6"/>
    <w:rsid w:val="009E31CB"/>
    <w:rsid w:val="009F6DDE"/>
    <w:rsid w:val="00AB71E3"/>
    <w:rsid w:val="00AC1300"/>
    <w:rsid w:val="00B95CB0"/>
    <w:rsid w:val="00BC2201"/>
    <w:rsid w:val="00BE241D"/>
    <w:rsid w:val="00C64EEC"/>
    <w:rsid w:val="00CC231A"/>
    <w:rsid w:val="00D8343A"/>
    <w:rsid w:val="00D84A4F"/>
    <w:rsid w:val="00D93D61"/>
    <w:rsid w:val="00DC0866"/>
    <w:rsid w:val="00E474F4"/>
    <w:rsid w:val="00E47A5B"/>
    <w:rsid w:val="00EA16C3"/>
    <w:rsid w:val="00F34790"/>
    <w:rsid w:val="00F479F1"/>
    <w:rsid w:val="00F70F82"/>
    <w:rsid w:val="00FA24BF"/>
    <w:rsid w:val="00FF2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1" type="connector" idref="#_x0000_s1074"/>
        <o:r id="V:Rule12" type="connector" idref="#_x0000_s1079"/>
        <o:r id="V:Rule13" type="connector" idref="#_x0000_s1078"/>
        <o:r id="V:Rule14" type="connector" idref="#_x0000_s1071"/>
        <o:r id="V:Rule15" type="connector" idref="#_x0000_s1077"/>
        <o:r id="V:Rule16" type="connector" idref="#_x0000_s1076"/>
        <o:r id="V:Rule17" type="connector" idref="#_x0000_s1070"/>
        <o:r id="V:Rule18" type="connector" idref="#_x0000_s1073"/>
        <o:r id="V:Rule19" type="connector" idref="#_x0000_s1075"/>
        <o:r id="V:Rule20"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4A4F"/>
    <w:pPr>
      <w:keepNext/>
      <w:jc w:val="center"/>
      <w:outlineLvl w:val="0"/>
    </w:pPr>
    <w:rPr>
      <w:b/>
      <w:sz w:val="24"/>
    </w:rPr>
  </w:style>
  <w:style w:type="paragraph" w:styleId="Heading7">
    <w:name w:val="heading 7"/>
    <w:basedOn w:val="Normal"/>
    <w:next w:val="Normal"/>
    <w:link w:val="Heading7Char"/>
    <w:qFormat/>
    <w:rsid w:val="00D84A4F"/>
    <w:pPr>
      <w:keepNext/>
      <w:spacing w:line="360" w:lineRule="auto"/>
      <w:ind w:firstLine="72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1467"/>
    <w:rPr>
      <w:b/>
      <w:sz w:val="24"/>
    </w:rPr>
  </w:style>
  <w:style w:type="character" w:customStyle="1" w:styleId="BodyTextChar">
    <w:name w:val="Body Text Char"/>
    <w:basedOn w:val="DefaultParagraphFont"/>
    <w:link w:val="BodyText"/>
    <w:rsid w:val="00041467"/>
    <w:rPr>
      <w:rFonts w:ascii="Times New Roman" w:eastAsia="Times New Roman" w:hAnsi="Times New Roman" w:cs="Times New Roman"/>
      <w:b/>
      <w:sz w:val="24"/>
      <w:szCs w:val="20"/>
    </w:rPr>
  </w:style>
  <w:style w:type="paragraph" w:styleId="BodyTextIndent3">
    <w:name w:val="Body Text Indent 3"/>
    <w:basedOn w:val="Normal"/>
    <w:link w:val="BodyTextIndent3Char"/>
    <w:rsid w:val="00041467"/>
    <w:pPr>
      <w:ind w:left="5040"/>
    </w:pPr>
    <w:rPr>
      <w:sz w:val="24"/>
    </w:rPr>
  </w:style>
  <w:style w:type="character" w:customStyle="1" w:styleId="BodyTextIndent3Char">
    <w:name w:val="Body Text Indent 3 Char"/>
    <w:basedOn w:val="DefaultParagraphFont"/>
    <w:link w:val="BodyTextIndent3"/>
    <w:rsid w:val="00041467"/>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A66CF"/>
  </w:style>
  <w:style w:type="character" w:customStyle="1" w:styleId="FootnoteTextChar">
    <w:name w:val="Footnote Text Char"/>
    <w:basedOn w:val="DefaultParagraphFont"/>
    <w:link w:val="FootnoteText"/>
    <w:uiPriority w:val="99"/>
    <w:semiHidden/>
    <w:rsid w:val="000A66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66CF"/>
    <w:rPr>
      <w:vertAlign w:val="superscript"/>
    </w:rPr>
  </w:style>
  <w:style w:type="paragraph" w:styleId="Header">
    <w:name w:val="header"/>
    <w:basedOn w:val="Normal"/>
    <w:link w:val="HeaderChar"/>
    <w:uiPriority w:val="99"/>
    <w:semiHidden/>
    <w:unhideWhenUsed/>
    <w:rsid w:val="00444B0B"/>
    <w:pPr>
      <w:tabs>
        <w:tab w:val="center" w:pos="4680"/>
        <w:tab w:val="right" w:pos="9360"/>
      </w:tabs>
    </w:pPr>
  </w:style>
  <w:style w:type="character" w:customStyle="1" w:styleId="HeaderChar">
    <w:name w:val="Header Char"/>
    <w:basedOn w:val="DefaultParagraphFont"/>
    <w:link w:val="Header"/>
    <w:uiPriority w:val="99"/>
    <w:semiHidden/>
    <w:rsid w:val="00444B0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444B0B"/>
    <w:pPr>
      <w:tabs>
        <w:tab w:val="center" w:pos="4680"/>
        <w:tab w:val="right" w:pos="9360"/>
      </w:tabs>
    </w:pPr>
  </w:style>
  <w:style w:type="character" w:customStyle="1" w:styleId="FooterChar">
    <w:name w:val="Footer Char"/>
    <w:basedOn w:val="DefaultParagraphFont"/>
    <w:link w:val="Footer"/>
    <w:uiPriority w:val="99"/>
    <w:semiHidden/>
    <w:rsid w:val="00444B0B"/>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4A4F"/>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84A4F"/>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D7B4-ED70-4CB2-99D1-C5B65B7B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Hong Kong Cavaliers</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RLLosey</dc:creator>
  <cp:keywords/>
  <dc:description/>
  <cp:lastModifiedBy>jsmerc01</cp:lastModifiedBy>
  <cp:revision>2</cp:revision>
  <dcterms:created xsi:type="dcterms:W3CDTF">2016-03-25T15:56:00Z</dcterms:created>
  <dcterms:modified xsi:type="dcterms:W3CDTF">2016-03-25T15:56:00Z</dcterms:modified>
</cp:coreProperties>
</file>